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030" w:type="dxa"/>
        <w:jc w:val="left"/>
        <w:tblInd w:w="70" w:type="dxa"/>
        <w:tblCellMar>
          <w:top w:w="0" w:type="dxa"/>
          <w:left w:w="70" w:type="dxa"/>
          <w:bottom w:w="0" w:type="dxa"/>
          <w:right w:w="70" w:type="dxa"/>
        </w:tblCellMar>
        <w:tblLook w:val="0000"/>
      </w:tblPr>
      <w:tblGrid>
        <w:gridCol w:w="6030"/>
      </w:tblGrid>
      <w:tr>
        <w:trPr/>
        <w:tc>
          <w:tcPr>
            <w:tcW w:w="6030" w:type="dxa"/>
            <w:tcBorders/>
          </w:tcPr>
          <w:p>
            <w:pPr>
              <w:pStyle w:val="Normal"/>
              <w:spacing w:lineRule="auto" w:line="276"/>
              <w:jc w:val="center"/>
              <w:rPr>
                <w:rFonts w:ascii="Cambria" w:hAnsi="Cambria" w:asciiTheme="majorHAnsi" w:hAnsiTheme="majorHAnsi"/>
                <w:lang w:val="el-GR"/>
              </w:rPr>
            </w:pPr>
            <w:r>
              <w:rPr/>
              <w:drawing>
                <wp:inline distT="0" distB="0" distL="0" distR="0">
                  <wp:extent cx="639445" cy="5905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0" r="7376" b="4661"/>
                          <a:stretch>
                            <a:fillRect/>
                          </a:stretch>
                        </pic:blipFill>
                        <pic:spPr bwMode="auto">
                          <a:xfrm>
                            <a:off x="0" y="0"/>
                            <a:ext cx="639445" cy="590550"/>
                          </a:xfrm>
                          <a:prstGeom prst="rect">
                            <a:avLst/>
                          </a:prstGeom>
                        </pic:spPr>
                      </pic:pic>
                    </a:graphicData>
                  </a:graphic>
                </wp:inline>
              </w:drawing>
            </w:r>
          </w:p>
        </w:tc>
      </w:tr>
      <w:tr>
        <w:trPr/>
        <w:tc>
          <w:tcPr>
            <w:tcW w:w="6030" w:type="dxa"/>
            <w:tcBorders/>
          </w:tcPr>
          <w:p>
            <w:pPr>
              <w:pStyle w:val="Normal"/>
              <w:spacing w:lineRule="auto" w:line="276"/>
              <w:jc w:val="center"/>
              <w:rPr>
                <w:rFonts w:ascii="Georgia" w:hAnsi="Georgia"/>
                <w:sz w:val="22"/>
                <w:lang w:val="el-GR"/>
              </w:rPr>
            </w:pPr>
            <w:r>
              <w:rPr>
                <w:rFonts w:ascii="Georgia" w:hAnsi="Georgia"/>
                <w:b/>
                <w:sz w:val="22"/>
                <w:szCs w:val="22"/>
                <w:lang w:val="el-GR"/>
              </w:rPr>
              <w:t>ΠΡΕΣΒΕΙΑ THΣ ΕΛΛΑΔOΣ ΣΤΟ ΒΟΥΚΟΥΡΕΣΤΙ</w:t>
            </w:r>
          </w:p>
          <w:p>
            <w:pPr>
              <w:pStyle w:val="Heading1"/>
              <w:spacing w:lineRule="auto" w:line="276" w:before="0" w:after="0"/>
              <w:jc w:val="center"/>
              <w:rPr>
                <w:rFonts w:ascii="Georgia" w:hAnsi="Georgia"/>
                <w:sz w:val="22"/>
                <w:szCs w:val="22"/>
                <w:lang w:val="el-GR"/>
              </w:rPr>
            </w:pPr>
            <w:r>
              <w:rPr>
                <w:rFonts w:cs="Times New Roman" w:ascii="Georgia" w:hAnsi="Georgia"/>
                <w:sz w:val="22"/>
                <w:szCs w:val="22"/>
                <w:lang w:val="el-GR"/>
              </w:rPr>
              <w:t>ΓΡΑΦΕΙΟ ΟΙΚΟΝΟΜΙΚΩΝ &amp; ΕΜΠΟΡΙΚΩΝ ΥΠΟΘΕΣΕΩΝ</w:t>
            </w:r>
          </w:p>
          <w:p>
            <w:pPr>
              <w:pStyle w:val="Normal"/>
              <w:spacing w:lineRule="auto" w:line="276"/>
              <w:jc w:val="center"/>
              <w:rPr>
                <w:rFonts w:ascii="Cambria" w:hAnsi="Cambria" w:asciiTheme="majorHAnsi" w:hAnsiTheme="majorHAnsi"/>
                <w:i/>
                <w:i/>
                <w:iCs/>
                <w:sz w:val="22"/>
                <w:lang w:val="el-GR"/>
              </w:rPr>
            </w:pPr>
            <w:r>
              <w:rPr>
                <w:rFonts w:asciiTheme="majorHAnsi" w:hAnsiTheme="majorHAnsi" w:ascii="Cambria" w:hAnsi="Cambria"/>
                <w:i/>
                <w:iCs/>
                <w:sz w:val="22"/>
                <w:lang w:val="el-GR"/>
              </w:rPr>
            </w:r>
          </w:p>
        </w:tc>
      </w:tr>
    </w:tbl>
    <w:p>
      <w:pPr>
        <w:pStyle w:val="Normal"/>
        <w:spacing w:lineRule="auto" w:line="276"/>
        <w:jc w:val="right"/>
        <w:rPr>
          <w:u w:val="single"/>
        </w:rPr>
      </w:pPr>
      <w:r>
        <w:rPr>
          <w:u w:val="single"/>
        </w:rPr>
      </w:r>
    </w:p>
    <w:p>
      <w:pPr>
        <w:pStyle w:val="Normal"/>
        <w:spacing w:lineRule="auto" w:line="276"/>
        <w:jc w:val="right"/>
        <w:rPr>
          <w:rFonts w:ascii="Georgia" w:hAnsi="Georgia"/>
        </w:rPr>
      </w:pPr>
      <w:r>
        <w:rPr>
          <w:rFonts w:ascii="Georgia" w:hAnsi="Georgia"/>
          <w:b/>
          <w:sz w:val="22"/>
          <w:szCs w:val="22"/>
          <w:lang w:val="el-GR"/>
        </w:rPr>
        <w:t>ΑΔΙΑΒΑΘΜΗΤΟ</w:t>
      </w:r>
    </w:p>
    <w:p>
      <w:pPr>
        <w:pStyle w:val="Normal"/>
        <w:spacing w:lineRule="auto" w:line="276"/>
        <w:jc w:val="right"/>
        <w:rPr>
          <w:rFonts w:ascii="Georgia" w:hAnsi="Georgia"/>
        </w:rPr>
      </w:pPr>
      <w:r>
        <w:rPr>
          <w:rFonts w:ascii="Georgia" w:hAnsi="Georgia"/>
          <w:b/>
          <w:sz w:val="22"/>
          <w:szCs w:val="22"/>
          <w:lang w:val="el-GR"/>
        </w:rPr>
        <w:t>ΚΑΝΟΝΙΚΟ</w:t>
      </w:r>
    </w:p>
    <w:tbl>
      <w:tblPr>
        <w:tblW w:w="3392" w:type="dxa"/>
        <w:jc w:val="right"/>
        <w:tblInd w:w="0" w:type="dxa"/>
        <w:tblCellMar>
          <w:top w:w="0" w:type="dxa"/>
          <w:left w:w="108" w:type="dxa"/>
          <w:bottom w:w="0" w:type="dxa"/>
          <w:right w:w="108" w:type="dxa"/>
        </w:tblCellMar>
        <w:tblLook w:val="01e0"/>
      </w:tblPr>
      <w:tblGrid>
        <w:gridCol w:w="3392"/>
      </w:tblGrid>
      <w:tr>
        <w:trPr>
          <w:trHeight w:val="585" w:hRule="atLeast"/>
        </w:trPr>
        <w:tc>
          <w:tcPr>
            <w:tcW w:w="3392" w:type="dxa"/>
            <w:tcBorders/>
          </w:tcPr>
          <w:p>
            <w:pPr>
              <w:pStyle w:val="Normal"/>
              <w:spacing w:lineRule="auto" w:line="276"/>
              <w:rPr>
                <w:rFonts w:ascii="Cambria" w:hAnsi="Cambria" w:asciiTheme="majorHAnsi" w:hAnsiTheme="majorHAnsi"/>
                <w:sz w:val="22"/>
                <w:lang w:val="el-GR"/>
              </w:rPr>
            </w:pPr>
            <w:r>
              <w:rPr>
                <w:rFonts w:asciiTheme="majorHAnsi" w:hAnsiTheme="majorHAnsi" w:ascii="Cambria" w:hAnsi="Cambria"/>
                <w:sz w:val="22"/>
                <w:lang w:val="el-GR"/>
              </w:rPr>
            </w:r>
          </w:p>
          <w:p>
            <w:pPr>
              <w:pStyle w:val="Normal"/>
              <w:spacing w:lineRule="auto" w:line="276"/>
              <w:jc w:val="both"/>
              <w:rPr>
                <w:rFonts w:ascii="Cambria" w:hAnsi="Cambria" w:asciiTheme="majorHAnsi" w:hAnsiTheme="majorHAnsi"/>
                <w:sz w:val="22"/>
                <w:lang w:val="el-GR"/>
              </w:rPr>
            </w:pPr>
            <w:r>
              <w:rPr>
                <w:rFonts w:ascii="Georgia" w:hAnsi="Georgia"/>
                <w:sz w:val="22"/>
                <w:szCs w:val="22"/>
                <w:lang w:val="el-GR"/>
              </w:rPr>
              <w:t>30 Ιανουα</w:t>
            </w:r>
            <w:r>
              <w:rPr>
                <w:rFonts w:ascii="Georgia" w:hAnsi="Georgia"/>
                <w:sz w:val="22"/>
                <w:szCs w:val="22"/>
                <w:lang w:val="el-GR"/>
              </w:rPr>
              <w:t xml:space="preserve">ρίου </w:t>
            </w:r>
            <w:r>
              <w:rPr>
                <w:rFonts w:ascii="Georgia" w:hAnsi="Georgia"/>
                <w:sz w:val="22"/>
                <w:szCs w:val="22"/>
              </w:rPr>
              <w:t>20</w:t>
            </w:r>
            <w:r>
              <w:rPr>
                <w:rFonts w:ascii="Georgia" w:hAnsi="Georgia"/>
                <w:sz w:val="22"/>
                <w:szCs w:val="22"/>
                <w:lang w:val="el-GR"/>
              </w:rPr>
              <w:t>2</w:t>
            </w:r>
            <w:r>
              <w:rPr>
                <w:rFonts w:ascii="Georgia" w:hAnsi="Georgia"/>
                <w:sz w:val="22"/>
                <w:szCs w:val="22"/>
                <w:lang w:val="el-GR"/>
              </w:rPr>
              <w:t>4</w:t>
            </w:r>
          </w:p>
          <w:p>
            <w:pPr>
              <w:pStyle w:val="Normal"/>
              <w:spacing w:lineRule="auto" w:line="276"/>
              <w:rPr>
                <w:rFonts w:ascii="Georgia" w:hAnsi="Georgia"/>
              </w:rPr>
            </w:pPr>
            <w:r>
              <w:rPr>
                <w:rFonts w:ascii="Georgia" w:hAnsi="Georgia"/>
                <w:sz w:val="22"/>
                <w:szCs w:val="22"/>
                <w:lang w:val="el-GR"/>
              </w:rPr>
              <w:t>ΑΠ</w:t>
            </w:r>
            <w:r>
              <w:rPr>
                <w:rFonts w:ascii="Georgia" w:hAnsi="Georgia"/>
                <w:sz w:val="22"/>
                <w:szCs w:val="22"/>
              </w:rPr>
              <w:t>.</w:t>
            </w:r>
            <w:r>
              <w:rPr>
                <w:rFonts w:ascii="Georgia" w:hAnsi="Georgia"/>
                <w:sz w:val="22"/>
                <w:szCs w:val="22"/>
                <w:lang w:val="el-GR"/>
              </w:rPr>
              <w:t>Φ</w:t>
            </w:r>
            <w:r>
              <w:rPr>
                <w:rFonts w:ascii="Georgia" w:hAnsi="Georgia"/>
                <w:sz w:val="22"/>
                <w:szCs w:val="22"/>
              </w:rPr>
              <w:t xml:space="preserve"> : 2</w:t>
            </w:r>
            <w:r>
              <w:rPr>
                <w:rFonts w:ascii="Georgia" w:hAnsi="Georgia"/>
                <w:sz w:val="22"/>
                <w:szCs w:val="22"/>
                <w:lang w:val="el-GR"/>
              </w:rPr>
              <w:t>700</w:t>
            </w:r>
            <w:r>
              <w:rPr>
                <w:rFonts w:ascii="Georgia" w:hAnsi="Georgia"/>
                <w:sz w:val="22"/>
                <w:szCs w:val="22"/>
              </w:rPr>
              <w:t>/</w:t>
            </w:r>
            <w:r>
              <w:rPr>
                <w:rFonts w:ascii="Georgia" w:hAnsi="Georgia"/>
                <w:sz w:val="22"/>
                <w:szCs w:val="22"/>
              </w:rPr>
              <w:t>142</w:t>
            </w:r>
          </w:p>
        </w:tc>
      </w:tr>
    </w:tbl>
    <w:p>
      <w:pPr>
        <w:pStyle w:val="Normal"/>
        <w:spacing w:lineRule="auto" w:line="276"/>
        <w:rPr>
          <w:rFonts w:ascii="Cambria" w:hAnsi="Cambria" w:asciiTheme="majorHAnsi" w:hAnsiTheme="majorHAnsi"/>
          <w:sz w:val="22"/>
          <w:szCs w:val="22"/>
        </w:rPr>
      </w:pPr>
      <w:r>
        <w:rPr>
          <w:rFonts w:asciiTheme="majorHAnsi" w:hAnsiTheme="majorHAnsi" w:ascii="Cambria" w:hAnsi="Cambria"/>
          <w:sz w:val="22"/>
          <w:szCs w:val="22"/>
        </w:rPr>
      </w:r>
    </w:p>
    <w:tbl>
      <w:tblPr>
        <w:tblW w:w="9984" w:type="dxa"/>
        <w:jc w:val="left"/>
        <w:tblInd w:w="109" w:type="dxa"/>
        <w:tblCellMar>
          <w:top w:w="0" w:type="dxa"/>
          <w:left w:w="108" w:type="dxa"/>
          <w:bottom w:w="0" w:type="dxa"/>
          <w:right w:w="108" w:type="dxa"/>
        </w:tblCellMar>
        <w:tblLook w:val="01e0"/>
      </w:tblPr>
      <w:tblGrid>
        <w:gridCol w:w="1165"/>
        <w:gridCol w:w="8818"/>
      </w:tblGrid>
      <w:tr>
        <w:trPr/>
        <w:tc>
          <w:tcPr>
            <w:tcW w:w="1165" w:type="dxa"/>
            <w:tcBorders/>
          </w:tcPr>
          <w:p>
            <w:pPr>
              <w:pStyle w:val="Normal"/>
              <w:tabs>
                <w:tab w:val="clear" w:pos="408"/>
                <w:tab w:val="left" w:pos="0" w:leader="none"/>
              </w:tabs>
              <w:spacing w:lineRule="auto" w:line="276"/>
              <w:rPr>
                <w:rFonts w:ascii="Georgia" w:hAnsi="Georgia"/>
                <w:sz w:val="22"/>
                <w:szCs w:val="22"/>
              </w:rPr>
            </w:pPr>
            <w:r>
              <w:rPr>
                <w:rFonts w:ascii="Georgia" w:hAnsi="Georgia"/>
                <w:b/>
                <w:sz w:val="22"/>
                <w:szCs w:val="22"/>
                <w:lang w:val="el-GR"/>
              </w:rPr>
              <w:t>ΠΡΟΣ:</w:t>
            </w:r>
          </w:p>
        </w:tc>
        <w:tc>
          <w:tcPr>
            <w:tcW w:w="8818" w:type="dxa"/>
            <w:tcBorders/>
          </w:tcPr>
          <w:p>
            <w:pPr>
              <w:pStyle w:val="Normal"/>
              <w:spacing w:lineRule="auto" w:line="276"/>
              <w:jc w:val="both"/>
              <w:rPr>
                <w:rFonts w:ascii="Georgia" w:hAnsi="Georgia"/>
                <w:b w:val="false"/>
                <w:b w:val="false"/>
                <w:bCs w:val="false"/>
                <w:sz w:val="22"/>
                <w:szCs w:val="22"/>
              </w:rPr>
            </w:pPr>
            <w:r>
              <w:rPr>
                <w:rFonts w:ascii="Georgia" w:hAnsi="Georgia"/>
                <w:b w:val="false"/>
                <w:bCs w:val="false"/>
                <w:sz w:val="22"/>
                <w:szCs w:val="22"/>
                <w:lang w:val="el-GR"/>
              </w:rPr>
              <w:t>Β4 Δ/νση</w:t>
            </w:r>
          </w:p>
          <w:p>
            <w:pPr>
              <w:pStyle w:val="Normal"/>
              <w:spacing w:lineRule="auto" w:line="276"/>
              <w:jc w:val="both"/>
              <w:rPr>
                <w:rFonts w:ascii="Georgia" w:hAnsi="Georgia"/>
                <w:sz w:val="22"/>
                <w:szCs w:val="22"/>
                <w:lang w:val="el-GR"/>
              </w:rPr>
            </w:pPr>
            <w:r>
              <w:rPr>
                <w:rFonts w:ascii="Georgia" w:hAnsi="Georgia"/>
                <w:sz w:val="22"/>
                <w:szCs w:val="22"/>
                <w:lang w:val="el-GR"/>
              </w:rPr>
            </w:r>
          </w:p>
        </w:tc>
      </w:tr>
      <w:tr>
        <w:trPr/>
        <w:tc>
          <w:tcPr>
            <w:tcW w:w="1165" w:type="dxa"/>
            <w:tcBorders/>
          </w:tcPr>
          <w:p>
            <w:pPr>
              <w:pStyle w:val="Normal"/>
              <w:tabs>
                <w:tab w:val="clear" w:pos="408"/>
                <w:tab w:val="left" w:pos="0" w:leader="none"/>
              </w:tabs>
              <w:spacing w:lineRule="auto" w:line="276"/>
              <w:rPr>
                <w:rFonts w:ascii="Georgia" w:hAnsi="Georgia"/>
                <w:sz w:val="22"/>
                <w:szCs w:val="22"/>
              </w:rPr>
            </w:pPr>
            <w:r>
              <w:rPr>
                <w:rFonts w:ascii="Georgia" w:hAnsi="Georgia"/>
                <w:b/>
                <w:sz w:val="22"/>
                <w:szCs w:val="22"/>
                <w:lang w:val="el-GR"/>
              </w:rPr>
              <w:t>ΚΟΙΝ.:</w:t>
            </w:r>
          </w:p>
        </w:tc>
        <w:tc>
          <w:tcPr>
            <w:tcW w:w="8818" w:type="dxa"/>
            <w:tcBorders/>
          </w:tcPr>
          <w:p>
            <w:pPr>
              <w:pStyle w:val="Normal"/>
              <w:spacing w:lineRule="auto" w:line="276"/>
              <w:jc w:val="both"/>
              <w:rPr>
                <w:b/>
                <w:b/>
                <w:bCs/>
              </w:rPr>
            </w:pPr>
            <w:r>
              <w:rPr>
                <w:rFonts w:ascii="Georgia" w:hAnsi="Georgia"/>
                <w:b/>
                <w:bCs/>
                <w:sz w:val="22"/>
                <w:szCs w:val="22"/>
                <w:lang w:val="el-GR"/>
              </w:rPr>
              <w:t>1. ΥΠ.ΕΞ.</w:t>
            </w:r>
          </w:p>
          <w:p>
            <w:pPr>
              <w:pStyle w:val="Normal"/>
              <w:spacing w:lineRule="auto" w:line="276"/>
              <w:jc w:val="both"/>
              <w:rPr>
                <w:rFonts w:ascii="Georgia" w:hAnsi="Georgia"/>
                <w:sz w:val="22"/>
                <w:szCs w:val="22"/>
              </w:rPr>
            </w:pPr>
            <w:r>
              <w:rPr>
                <w:rFonts w:ascii="Georgia" w:hAnsi="Georgia"/>
                <w:sz w:val="22"/>
                <w:szCs w:val="22"/>
                <w:lang w:val="el-GR"/>
              </w:rPr>
              <w:t>- Δ.Γ. Υφυπουργού κ. Φραγκογιάννη</w:t>
            </w:r>
          </w:p>
          <w:p>
            <w:pPr>
              <w:pStyle w:val="Normal"/>
              <w:spacing w:lineRule="auto" w:line="276"/>
              <w:jc w:val="both"/>
              <w:rPr>
                <w:rFonts w:ascii="Georgia" w:hAnsi="Georgia"/>
                <w:sz w:val="22"/>
                <w:szCs w:val="22"/>
              </w:rPr>
            </w:pPr>
            <w:r>
              <w:rPr>
                <w:rFonts w:ascii="Georgia" w:hAnsi="Georgia"/>
                <w:sz w:val="22"/>
                <w:szCs w:val="22"/>
                <w:lang w:val="el-GR"/>
              </w:rPr>
              <w:t>- Γραφείο κας Γ.Γ. ΔΟΣ και Εξωστρέφειας</w:t>
            </w:r>
          </w:p>
          <w:p>
            <w:pPr>
              <w:pStyle w:val="Normal"/>
              <w:spacing w:lineRule="auto" w:line="276"/>
              <w:jc w:val="both"/>
              <w:rPr>
                <w:rFonts w:ascii="Georgia" w:hAnsi="Georgia"/>
                <w:sz w:val="22"/>
                <w:szCs w:val="22"/>
              </w:rPr>
            </w:pPr>
            <w:r>
              <w:rPr>
                <w:rFonts w:ascii="Georgia" w:hAnsi="Georgia"/>
                <w:sz w:val="22"/>
                <w:szCs w:val="22"/>
                <w:lang w:val="el-GR"/>
              </w:rPr>
              <w:t>- Γραφείο κας Β΄Γεν. Δ/ντριας</w:t>
            </w:r>
          </w:p>
          <w:p>
            <w:pPr>
              <w:pStyle w:val="Normal"/>
              <w:spacing w:lineRule="auto" w:line="276"/>
              <w:jc w:val="both"/>
              <w:rPr>
                <w:rFonts w:ascii="Georgia" w:hAnsi="Georgia"/>
                <w:sz w:val="22"/>
                <w:szCs w:val="22"/>
              </w:rPr>
            </w:pPr>
            <w:r>
              <w:rPr>
                <w:rFonts w:ascii="Georgia" w:hAnsi="Georgia"/>
                <w:sz w:val="22"/>
                <w:szCs w:val="22"/>
                <w:lang w:val="el-GR"/>
              </w:rPr>
              <w:t>- Β1 Δ/νση</w:t>
            </w:r>
          </w:p>
          <w:p>
            <w:pPr>
              <w:pStyle w:val="Normal"/>
              <w:spacing w:lineRule="auto" w:line="276"/>
              <w:jc w:val="both"/>
              <w:rPr>
                <w:rFonts w:ascii="Georgia" w:hAnsi="Georgia"/>
                <w:sz w:val="22"/>
                <w:szCs w:val="22"/>
              </w:rPr>
            </w:pPr>
            <w:r>
              <w:rPr>
                <w:rFonts w:ascii="Georgia" w:hAnsi="Georgia"/>
                <w:sz w:val="22"/>
                <w:szCs w:val="22"/>
              </w:rPr>
            </w:r>
          </w:p>
          <w:p>
            <w:pPr>
              <w:pStyle w:val="Normal"/>
              <w:spacing w:lineRule="auto" w:line="276"/>
              <w:jc w:val="both"/>
              <w:rPr>
                <w:rFonts w:ascii="Georgia" w:hAnsi="Georgia"/>
                <w:b/>
                <w:b/>
                <w:bCs/>
                <w:sz w:val="22"/>
                <w:szCs w:val="22"/>
              </w:rPr>
            </w:pPr>
            <w:r>
              <w:rPr>
                <w:rFonts w:ascii="Georgia" w:hAnsi="Georgia"/>
                <w:b/>
                <w:bCs/>
                <w:sz w:val="22"/>
                <w:szCs w:val="22"/>
              </w:rPr>
              <w:t>2. Ως Πίνακας Αποδεκτών</w:t>
            </w:r>
          </w:p>
          <w:p>
            <w:pPr>
              <w:pStyle w:val="Normal"/>
              <w:spacing w:lineRule="auto" w:line="276"/>
              <w:jc w:val="both"/>
              <w:rPr>
                <w:rFonts w:ascii="Georgia" w:hAnsi="Georgia"/>
                <w:sz w:val="22"/>
                <w:szCs w:val="22"/>
              </w:rPr>
            </w:pPr>
            <w:r>
              <w:rPr>
                <w:rFonts w:ascii="Georgia" w:hAnsi="Georgia"/>
                <w:sz w:val="22"/>
                <w:szCs w:val="22"/>
              </w:rPr>
            </w:r>
          </w:p>
          <w:p>
            <w:pPr>
              <w:pStyle w:val="Normal"/>
              <w:spacing w:lineRule="auto" w:line="276"/>
              <w:jc w:val="both"/>
              <w:rPr>
                <w:rFonts w:ascii="Georgia" w:hAnsi="Georgia"/>
                <w:sz w:val="22"/>
                <w:szCs w:val="22"/>
              </w:rPr>
            </w:pPr>
            <w:r>
              <w:rPr>
                <w:rFonts w:ascii="Georgia" w:hAnsi="Georgia"/>
                <w:sz w:val="22"/>
                <w:szCs w:val="22"/>
              </w:rPr>
            </w:r>
          </w:p>
        </w:tc>
      </w:tr>
      <w:tr>
        <w:trPr/>
        <w:tc>
          <w:tcPr>
            <w:tcW w:w="1165" w:type="dxa"/>
            <w:tcBorders/>
          </w:tcPr>
          <w:p>
            <w:pPr>
              <w:pStyle w:val="Normal"/>
              <w:tabs>
                <w:tab w:val="clear" w:pos="408"/>
                <w:tab w:val="left" w:pos="0" w:leader="none"/>
              </w:tabs>
              <w:spacing w:lineRule="auto" w:line="276"/>
              <w:rPr>
                <w:rFonts w:ascii="Georgia" w:hAnsi="Georgia"/>
                <w:sz w:val="22"/>
                <w:szCs w:val="22"/>
              </w:rPr>
            </w:pPr>
            <w:r>
              <w:rPr>
                <w:rFonts w:ascii="Georgia" w:hAnsi="Georgia"/>
                <w:b/>
                <w:sz w:val="22"/>
                <w:szCs w:val="22"/>
                <w:lang w:val="el-GR"/>
              </w:rPr>
              <w:t>Ε.Δ.:</w:t>
            </w:r>
          </w:p>
        </w:tc>
        <w:tc>
          <w:tcPr>
            <w:tcW w:w="8818" w:type="dxa"/>
            <w:tcBorders/>
          </w:tcPr>
          <w:p>
            <w:pPr>
              <w:pStyle w:val="Normal"/>
              <w:spacing w:lineRule="auto" w:line="276"/>
              <w:jc w:val="both"/>
              <w:rPr>
                <w:rFonts w:ascii="Georgia" w:hAnsi="Georgia"/>
                <w:sz w:val="22"/>
                <w:szCs w:val="22"/>
              </w:rPr>
            </w:pPr>
            <w:r>
              <w:rPr>
                <w:rFonts w:ascii="Georgia" w:hAnsi="Georgia"/>
                <w:sz w:val="22"/>
                <w:szCs w:val="22"/>
                <w:lang w:val="el-GR"/>
              </w:rPr>
              <w:t>Γραφείο κας Πρέσβεως</w:t>
            </w:r>
          </w:p>
          <w:p>
            <w:pPr>
              <w:pStyle w:val="Normal"/>
              <w:spacing w:lineRule="auto" w:line="276"/>
              <w:jc w:val="both"/>
              <w:rPr>
                <w:rFonts w:ascii="Georgia" w:hAnsi="Georgia"/>
                <w:b/>
                <w:b/>
                <w:sz w:val="22"/>
                <w:szCs w:val="22"/>
                <w:lang w:val="el-GR"/>
              </w:rPr>
            </w:pPr>
            <w:r>
              <w:rPr>
                <w:rFonts w:ascii="Georgia" w:hAnsi="Georgia"/>
                <w:b/>
                <w:sz w:val="22"/>
                <w:szCs w:val="22"/>
                <w:lang w:val="el-GR"/>
              </w:rPr>
            </w:r>
          </w:p>
          <w:p>
            <w:pPr>
              <w:pStyle w:val="Normal"/>
              <w:spacing w:lineRule="auto" w:line="276"/>
              <w:jc w:val="both"/>
              <w:rPr>
                <w:rFonts w:ascii="Georgia" w:hAnsi="Georgia"/>
                <w:b/>
                <w:b/>
                <w:sz w:val="22"/>
                <w:szCs w:val="22"/>
                <w:lang w:val="el-GR"/>
              </w:rPr>
            </w:pPr>
            <w:r>
              <w:rPr>
                <w:rFonts w:ascii="Georgia" w:hAnsi="Georgia"/>
                <w:b/>
                <w:sz w:val="22"/>
                <w:szCs w:val="22"/>
                <w:lang w:val="el-GR"/>
              </w:rPr>
            </w:r>
          </w:p>
        </w:tc>
      </w:tr>
      <w:tr>
        <w:trPr>
          <w:trHeight w:val="656" w:hRule="atLeast"/>
        </w:trPr>
        <w:tc>
          <w:tcPr>
            <w:tcW w:w="1165" w:type="dxa"/>
            <w:tcBorders/>
          </w:tcPr>
          <w:p>
            <w:pPr>
              <w:pStyle w:val="Normal"/>
              <w:tabs>
                <w:tab w:val="clear" w:pos="408"/>
                <w:tab w:val="left" w:pos="0" w:leader="none"/>
              </w:tabs>
              <w:spacing w:lineRule="auto" w:line="276"/>
              <w:rPr>
                <w:rFonts w:ascii="Georgia" w:hAnsi="Georgia"/>
                <w:sz w:val="22"/>
                <w:szCs w:val="22"/>
              </w:rPr>
            </w:pPr>
            <w:r>
              <w:rPr>
                <w:rFonts w:ascii="Georgia" w:hAnsi="Georgia"/>
                <w:b/>
                <w:sz w:val="22"/>
                <w:szCs w:val="22"/>
                <w:lang w:val="el-GR"/>
              </w:rPr>
              <w:t>ΘΕΜΑ:</w:t>
            </w:r>
          </w:p>
          <w:p>
            <w:pPr>
              <w:pStyle w:val="Normal"/>
              <w:tabs>
                <w:tab w:val="clear" w:pos="408"/>
                <w:tab w:val="left" w:pos="0" w:leader="none"/>
              </w:tabs>
              <w:spacing w:lineRule="auto" w:line="276"/>
              <w:rPr>
                <w:rFonts w:ascii="Georgia" w:hAnsi="Georgia"/>
                <w:sz w:val="22"/>
                <w:szCs w:val="22"/>
              </w:rPr>
            </w:pPr>
            <w:r>
              <w:rPr>
                <w:rFonts w:ascii="Georgia" w:hAnsi="Georgia"/>
                <w:b/>
                <w:bCs/>
                <w:sz w:val="22"/>
                <w:szCs w:val="22"/>
              </w:rPr>
              <w:t>Σχετ.:</w:t>
            </w:r>
          </w:p>
        </w:tc>
        <w:tc>
          <w:tcPr>
            <w:tcW w:w="8818" w:type="dxa"/>
            <w:tcBorders/>
          </w:tcPr>
          <w:p>
            <w:pPr>
              <w:pStyle w:val="Normal"/>
              <w:widowControl/>
              <w:tabs>
                <w:tab w:val="clear" w:pos="408"/>
                <w:tab w:val="left" w:pos="975" w:leader="none"/>
              </w:tabs>
              <w:spacing w:lineRule="auto" w:line="276" w:before="0" w:after="0"/>
              <w:ind w:left="0" w:right="0" w:hanging="0"/>
              <w:jc w:val="both"/>
              <w:rPr>
                <w:rFonts w:ascii="Georgia" w:hAnsi="Georgia"/>
                <w:sz w:val="22"/>
                <w:szCs w:val="22"/>
              </w:rPr>
            </w:pPr>
            <w:r>
              <w:rPr>
                <w:rFonts w:ascii="Georgia" w:hAnsi="Georgia"/>
                <w:b/>
                <w:bCs/>
                <w:i w:val="false"/>
                <w:caps w:val="false"/>
                <w:smallCaps w:val="false"/>
                <w:color w:val="000000"/>
                <w:spacing w:val="0"/>
                <w:sz w:val="22"/>
                <w:szCs w:val="22"/>
                <w:lang w:val="el-GR"/>
              </w:rPr>
              <w:t>Κυκλοφορία της έβδομης έκδοσης του οδηγού Wine Map of Romania</w:t>
            </w:r>
            <w:r>
              <w:rPr>
                <w:rFonts w:ascii="Georgia" w:hAnsi="Georgia"/>
                <w:b/>
                <w:bCs/>
                <w:i w:val="false"/>
                <w:caps w:val="false"/>
                <w:smallCaps w:val="false"/>
                <w:color w:val="000000"/>
                <w:spacing w:val="0"/>
                <w:sz w:val="22"/>
                <w:szCs w:val="22"/>
                <w:lang w:val="el-GR"/>
              </w:rPr>
              <w:t>.</w:t>
            </w:r>
          </w:p>
          <w:p>
            <w:pPr>
              <w:pStyle w:val="Normal"/>
              <w:widowControl/>
              <w:tabs>
                <w:tab w:val="clear" w:pos="408"/>
                <w:tab w:val="left" w:pos="975" w:leader="none"/>
              </w:tabs>
              <w:spacing w:lineRule="auto" w:line="276" w:before="0" w:after="0"/>
              <w:ind w:left="0" w:right="0" w:hanging="0"/>
              <w:jc w:val="both"/>
              <w:rPr>
                <w:b w:val="false"/>
                <w:b w:val="false"/>
                <w:bCs w:val="false"/>
              </w:rPr>
            </w:pPr>
            <w:r>
              <w:rPr>
                <w:rFonts w:ascii="Georgia" w:hAnsi="Georgia"/>
                <w:b w:val="false"/>
                <w:bCs w:val="false"/>
                <w:i w:val="false"/>
                <w:caps w:val="false"/>
                <w:smallCaps w:val="false"/>
                <w:color w:val="000000"/>
                <w:spacing w:val="0"/>
                <w:sz w:val="22"/>
                <w:szCs w:val="22"/>
                <w:lang w:val="el-GR"/>
              </w:rPr>
              <w:t>Έγγραφο Γραφείου ΑΠΦ 2700/2173/20-12-2023</w:t>
            </w:r>
          </w:p>
        </w:tc>
      </w:tr>
    </w:tbl>
    <w:p>
      <w:pPr>
        <w:pStyle w:val="Normal"/>
        <w:tabs>
          <w:tab w:val="clear" w:pos="408"/>
          <w:tab w:val="left" w:pos="975" w:leader="none"/>
        </w:tabs>
        <w:spacing w:lineRule="auto" w:line="276"/>
        <w:jc w:val="both"/>
        <w:rPr>
          <w:rFonts w:ascii="Georgia" w:hAnsi="Georgia"/>
        </w:rPr>
      </w:pPr>
      <w:r>
        <w:rPr>
          <w:rFonts w:ascii="Georgia" w:hAnsi="Georgia"/>
          <w:sz w:val="22"/>
          <w:szCs w:val="22"/>
          <w:lang w:val="el-GR"/>
        </w:rPr>
        <w:t xml:space="preserve"> </w:t>
      </w:r>
    </w:p>
    <w:p>
      <w:pPr>
        <w:pStyle w:val="Normal"/>
        <w:tabs>
          <w:tab w:val="clear" w:pos="408"/>
          <w:tab w:val="left" w:pos="975" w:leader="none"/>
        </w:tabs>
        <w:spacing w:lineRule="auto" w:line="276"/>
        <w:jc w:val="both"/>
        <w:rPr>
          <w:rFonts w:ascii="Georgia" w:hAnsi="Georgia"/>
        </w:rPr>
      </w:pPr>
      <w:r>
        <w:rPr>
          <w:rFonts w:ascii="Georgia" w:hAnsi="Georgia"/>
          <w:sz w:val="22"/>
          <w:szCs w:val="22"/>
          <w:lang w:val="el-GR"/>
        </w:rPr>
        <w:t xml:space="preserve"> </w:t>
      </w:r>
      <w:r>
        <w:rPr>
          <w:rFonts w:ascii="Georgia" w:hAnsi="Georgia"/>
          <w:sz w:val="22"/>
          <w:szCs w:val="22"/>
          <w:lang w:val="el-GR"/>
        </w:rPr>
        <w:t xml:space="preserve">Σε συνέχεια ανωτέρω σχετικού μας εγγράφου το οποίο και αφορούσε πλειάδα βραβεύσεων ρουμανικών κρασιών σε διεθνείς διαγωνισμούς κατά το 2023, σας ενημερώνουμε ότι κυκλοφόρησε πρόσφατα, η έβδομη έκδοση του </w:t>
      </w:r>
      <w:r>
        <w:rPr>
          <w:rFonts w:ascii="Georgia" w:hAnsi="Georgia"/>
          <w:b/>
          <w:bCs/>
          <w:sz w:val="22"/>
          <w:szCs w:val="22"/>
          <w:lang w:val="el-GR"/>
        </w:rPr>
        <w:t xml:space="preserve">Wine Map of Romania </w:t>
      </w:r>
      <w:hyperlink r:id="rId3">
        <w:r>
          <w:rPr>
            <w:rStyle w:val="InternetLink"/>
            <w:rFonts w:ascii="Georgia" w:hAnsi="Georgia"/>
            <w:b/>
            <w:bCs/>
            <w:sz w:val="22"/>
            <w:szCs w:val="22"/>
            <w:lang w:val="el-GR"/>
          </w:rPr>
          <w:t>https://revino.ro/en/wine-regions-maps/</w:t>
        </w:r>
      </w:hyperlink>
      <w:r>
        <w:rPr>
          <w:rFonts w:ascii="Georgia" w:hAnsi="Georgia"/>
          <w:sz w:val="22"/>
          <w:szCs w:val="22"/>
          <w:lang w:val="el-GR"/>
        </w:rPr>
        <w:t xml:space="preserve">, ένα εύχρηστο και χρήσιμο εργαλείο για όσους θέλουν να ανακαλύψουν τη Ρουμανία ως οινικό προορισμό. Ο οδηγός είναι δίγλωσσος </w:t>
      </w:r>
      <w:r>
        <w:rPr>
          <w:rFonts w:ascii="Georgia" w:hAnsi="Georgia"/>
          <w:sz w:val="22"/>
          <w:szCs w:val="22"/>
          <w:lang w:val="el-GR"/>
        </w:rPr>
        <w:t xml:space="preserve">(στην ρουμανική και αγγλική γλώσσα) </w:t>
      </w:r>
      <w:r>
        <w:rPr>
          <w:rFonts w:ascii="Georgia" w:hAnsi="Georgia"/>
          <w:sz w:val="22"/>
          <w:szCs w:val="22"/>
          <w:lang w:val="el-GR"/>
        </w:rPr>
        <w:t xml:space="preserve">και αποτελεί διαδικτυακή βάση </w:t>
      </w:r>
      <w:r>
        <w:rPr>
          <w:rFonts w:ascii="Georgia" w:hAnsi="Georgia"/>
          <w:sz w:val="22"/>
          <w:szCs w:val="22"/>
          <w:lang w:val="el-GR"/>
        </w:rPr>
        <w:t xml:space="preserve">εύρεσης </w:t>
      </w:r>
      <w:r>
        <w:rPr>
          <w:rFonts w:ascii="Georgia" w:hAnsi="Georgia"/>
          <w:sz w:val="22"/>
          <w:szCs w:val="22"/>
          <w:lang w:val="el-GR"/>
        </w:rPr>
        <w:t xml:space="preserve">των </w:t>
      </w:r>
      <w:r>
        <w:rPr>
          <w:rFonts w:ascii="Georgia" w:hAnsi="Georgia"/>
          <w:b/>
          <w:bCs/>
          <w:sz w:val="22"/>
          <w:szCs w:val="22"/>
          <w:lang w:val="el-GR"/>
        </w:rPr>
        <w:t>230 ρουμανικών οινοποιείων</w:t>
      </w:r>
      <w:r>
        <w:rPr>
          <w:rFonts w:ascii="Georgia" w:hAnsi="Georgia"/>
          <w:sz w:val="22"/>
          <w:szCs w:val="22"/>
          <w:lang w:val="el-GR"/>
        </w:rPr>
        <w:t xml:space="preserve">, αλλά και ρουμανικών ποικιλιών κρασιών καθώς και </w:t>
      </w:r>
      <w:r>
        <w:rPr>
          <w:rFonts w:ascii="Georgia" w:hAnsi="Georgia"/>
          <w:sz w:val="22"/>
          <w:szCs w:val="22"/>
          <w:lang w:val="el-GR"/>
        </w:rPr>
        <w:t xml:space="preserve">περιοχών </w:t>
      </w:r>
      <w:r>
        <w:rPr>
          <w:rFonts w:ascii="Georgia" w:hAnsi="Georgia"/>
          <w:sz w:val="22"/>
          <w:szCs w:val="22"/>
          <w:lang w:val="el-GR"/>
        </w:rPr>
        <w:t>οινοτουρισμού.</w:t>
      </w:r>
    </w:p>
    <w:p>
      <w:pPr>
        <w:pStyle w:val="Normal"/>
        <w:tabs>
          <w:tab w:val="clear" w:pos="408"/>
          <w:tab w:val="left" w:pos="975" w:leader="none"/>
        </w:tabs>
        <w:spacing w:lineRule="auto" w:line="276"/>
        <w:jc w:val="both"/>
        <w:rPr>
          <w:rFonts w:ascii="Georgia" w:hAnsi="Georgia"/>
        </w:rPr>
      </w:pPr>
      <w:r>
        <w:rPr/>
      </w:r>
    </w:p>
    <w:p>
      <w:pPr>
        <w:pStyle w:val="Normal"/>
        <w:tabs>
          <w:tab w:val="clear" w:pos="408"/>
          <w:tab w:val="left" w:pos="975" w:leader="none"/>
        </w:tabs>
        <w:spacing w:lineRule="auto" w:line="276"/>
        <w:jc w:val="both"/>
        <w:rPr>
          <w:rFonts w:ascii="Georgia" w:hAnsi="Georgia"/>
        </w:rPr>
      </w:pPr>
      <w:r>
        <w:rPr>
          <w:rFonts w:ascii="Georgia" w:hAnsi="Georgia"/>
          <w:sz w:val="22"/>
          <w:szCs w:val="22"/>
          <w:lang w:val="el-GR"/>
        </w:rPr>
        <w:t xml:space="preserve">  </w:t>
      </w:r>
      <w:r>
        <w:rPr>
          <w:rFonts w:ascii="Georgia" w:hAnsi="Georgia"/>
          <w:sz w:val="22"/>
          <w:szCs w:val="22"/>
          <w:lang w:val="el-GR"/>
        </w:rPr>
        <w:t xml:space="preserve">Ο οδηγός Wine Map of Romania έχει ως στόχο να προσδιορίσει τις ξεχωριστές </w:t>
      </w:r>
      <w:r>
        <w:rPr>
          <w:rFonts w:ascii="Georgia" w:hAnsi="Georgia"/>
          <w:b/>
          <w:bCs/>
          <w:sz w:val="22"/>
          <w:szCs w:val="22"/>
          <w:lang w:val="el-GR"/>
        </w:rPr>
        <w:t>οινοπαραγωγικές περιοχές της Ρουμανίας, τις κύριες κατηγορίες κρασιών καθώς και να καθοδηγήσει τους  ενδιαφερόμενους στην ευκολότερη εύρεση τοπικών οινοποιείων</w:t>
      </w:r>
      <w:r>
        <w:rPr>
          <w:rFonts w:ascii="Georgia" w:hAnsi="Georgia"/>
          <w:sz w:val="22"/>
          <w:szCs w:val="22"/>
          <w:lang w:val="el-GR"/>
        </w:rPr>
        <w:t>. Ο χάρτης περιλαμβάνει έναν κατάλογο των τοπικών οινοποιείων, είτε πρόκειται για μεγαλύτερα είτε για μικρότερα, και δεν σκοπεύει να αποτελέσει τουριστικό οδηγό, αλλά ένα εκπαιδευτικό εργαλείο μέσω του οποίου οι λάτρεις του κρασιού μπορούν να εξερευνήσουν τα οινοποιεία και τις αμπελουργικές περιοχές της Ρουμανίας.</w:t>
      </w:r>
    </w:p>
    <w:p>
      <w:pPr>
        <w:pStyle w:val="Normal"/>
        <w:tabs>
          <w:tab w:val="clear" w:pos="408"/>
          <w:tab w:val="left" w:pos="975" w:leader="none"/>
        </w:tabs>
        <w:spacing w:lineRule="auto" w:line="276"/>
        <w:jc w:val="both"/>
        <w:rPr>
          <w:rFonts w:ascii="Georgia" w:hAnsi="Georgia"/>
        </w:rPr>
      </w:pPr>
      <w:r>
        <w:rPr/>
      </w:r>
    </w:p>
    <w:p>
      <w:pPr>
        <w:pStyle w:val="Normal"/>
        <w:tabs>
          <w:tab w:val="clear" w:pos="408"/>
          <w:tab w:val="left" w:pos="975" w:leader="none"/>
        </w:tabs>
        <w:spacing w:lineRule="auto" w:line="276"/>
        <w:jc w:val="both"/>
        <w:rPr>
          <w:rFonts w:ascii="Georgia" w:hAnsi="Georgia"/>
        </w:rPr>
      </w:pPr>
      <w:r>
        <w:rPr>
          <w:rFonts w:ascii="Georgia" w:hAnsi="Georgia"/>
          <w:sz w:val="22"/>
          <w:szCs w:val="22"/>
          <w:lang w:val="el-GR"/>
        </w:rPr>
        <w:t xml:space="preserve"> </w:t>
      </w:r>
      <w:r>
        <w:rPr>
          <w:rFonts w:ascii="Georgia" w:hAnsi="Georgia"/>
          <w:sz w:val="22"/>
          <w:szCs w:val="22"/>
          <w:lang w:val="el-GR"/>
        </w:rPr>
        <w:t>Σύμφω</w:t>
      </w:r>
      <w:r>
        <w:rPr>
          <w:rFonts w:ascii="Georgia" w:hAnsi="Georgia"/>
          <w:sz w:val="22"/>
          <w:szCs w:val="22"/>
          <w:lang w:val="el-GR"/>
        </w:rPr>
        <w:t>να</w:t>
      </w:r>
      <w:r>
        <w:rPr>
          <w:rFonts w:ascii="Georgia" w:hAnsi="Georgia"/>
          <w:sz w:val="22"/>
          <w:szCs w:val="22"/>
          <w:lang w:val="el-GR"/>
        </w:rPr>
        <w:t xml:space="preserve"> με την κα Alina Iancu, ιδρύτρια του CrameRomania.ro και του ReVino, εταιρειών που εξέδωσαν τον οδηγό, "Τα τελευταία 10 χρόνια, συνεχίσαμε να ενισχύουμε τις προσπάθειές μας για την προώθηση της Ρουμανίας ως τουριστικού προορισμού για τους λάτρεις του κρασιού και όχι μόνο, καθώς και για τη στήριξη των τοπικών οινοπαραγωγών. Αυτό αντικατοπτρίζεται τώρα στη νέα έκδοση του οινικού χάρτη της Ρουμανίας. Ήμασταν από τους πρώτους υποστηρικτές του τεράστιου δυναμικού του κλάδου αυτού, ο οποίος αρχίζει να </w:t>
      </w:r>
      <w:r>
        <w:rPr>
          <w:rFonts w:ascii="Georgia" w:hAnsi="Georgia"/>
          <w:sz w:val="22"/>
          <w:szCs w:val="22"/>
          <w:lang w:val="el-GR"/>
        </w:rPr>
        <w:t>εξελίσσεται δυναμικά</w:t>
      </w:r>
      <w:r>
        <w:rPr>
          <w:rFonts w:ascii="Georgia" w:hAnsi="Georgia"/>
          <w:sz w:val="22"/>
          <w:szCs w:val="22"/>
          <w:lang w:val="el-GR"/>
        </w:rPr>
        <w:t xml:space="preserve">. </w:t>
      </w:r>
      <w:r>
        <w:rPr>
          <w:rFonts w:ascii="Georgia" w:hAnsi="Georgia"/>
          <w:b/>
          <w:bCs/>
          <w:sz w:val="22"/>
          <w:szCs w:val="22"/>
          <w:lang w:val="el-GR"/>
        </w:rPr>
        <w:t>Οι επενδύσεις σε οινοποιεία έχουν αυξηθεί σημαντικά και δεν περιορίζονται στην παραγωγή, αλλά περιλαμβάνουν επίσης χώρους γευσιγνωσίας για τους επισκέπτες, οι οποίοι συμβάλλουν στην ανάπτυξη του οινοτουρισμού.</w:t>
      </w:r>
      <w:r>
        <w:rPr>
          <w:rFonts w:ascii="Georgia" w:hAnsi="Georgia"/>
          <w:sz w:val="22"/>
          <w:szCs w:val="22"/>
          <w:lang w:val="el-GR"/>
        </w:rPr>
        <w:t xml:space="preserve"> Ταυτόχρονα, γινόμαστε μάρτυρες μιας σειράς έργων που αποσκοπούν στην προώθηση των ρουμανικών κρασιών, τα οποία αποκτούν όλο και μεγαλύτερη αναγνώριση και εκτίμηση όχι μόνο στη χώρα αλλά και στο εξωτερικό. Μέσω των έργων μας, CrameRomania.ro και ReVino.ro, και των εκδηλώσεων που διοργανώνουμε, προωθούμε το ρουμανικό κρασί ως ένα πραγματικό εθνικό εμπορικό σήμα. Πιστεύουμε ότι αν ενώσουμε τις προσπάθειές μας για να αξιοποιήσουμε αυτό το δυναμικό, όλοι θα κερδίσουμε".</w:t>
      </w:r>
    </w:p>
    <w:p>
      <w:pPr>
        <w:pStyle w:val="Normal"/>
        <w:tabs>
          <w:tab w:val="clear" w:pos="408"/>
          <w:tab w:val="left" w:pos="975" w:leader="none"/>
        </w:tabs>
        <w:spacing w:lineRule="auto" w:line="276"/>
        <w:jc w:val="both"/>
        <w:rPr>
          <w:rFonts w:ascii="Georgia" w:hAnsi="Georgia"/>
        </w:rPr>
      </w:pPr>
      <w:r>
        <w:rPr/>
      </w:r>
    </w:p>
    <w:p>
      <w:pPr>
        <w:pStyle w:val="Normal"/>
        <w:tabs>
          <w:tab w:val="clear" w:pos="408"/>
          <w:tab w:val="left" w:pos="975" w:leader="none"/>
        </w:tabs>
        <w:spacing w:lineRule="auto" w:line="276"/>
        <w:jc w:val="both"/>
        <w:rPr>
          <w:rFonts w:ascii="Georgia" w:hAnsi="Georgia"/>
        </w:rPr>
      </w:pPr>
      <w:r>
        <w:rPr>
          <w:rFonts w:ascii="Georgia" w:hAnsi="Georgia"/>
          <w:sz w:val="22"/>
          <w:szCs w:val="22"/>
          <w:lang w:val="el-GR"/>
        </w:rPr>
        <w:t xml:space="preserve">  </w:t>
      </w:r>
      <w:r>
        <w:rPr>
          <w:rFonts w:ascii="Georgia" w:hAnsi="Georgia"/>
          <w:sz w:val="22"/>
          <w:szCs w:val="22"/>
          <w:lang w:val="el-GR"/>
        </w:rPr>
        <w:t xml:space="preserve">Σύμφωνα με την κα </w:t>
      </w:r>
      <w:r>
        <w:rPr>
          <w:rFonts w:ascii="Georgia" w:hAnsi="Georgia"/>
          <w:sz w:val="22"/>
          <w:szCs w:val="22"/>
          <w:lang w:val="el-GR"/>
        </w:rPr>
        <w:t>Iancu,</w:t>
      </w:r>
      <w:r>
        <w:rPr>
          <w:rFonts w:ascii="Georgia" w:hAnsi="Georgia"/>
          <w:b/>
          <w:bCs/>
          <w:sz w:val="22"/>
          <w:szCs w:val="22"/>
          <w:lang w:val="el-GR"/>
        </w:rPr>
        <w:t xml:space="preserve"> η Ρουμανία </w:t>
      </w:r>
      <w:r>
        <w:rPr>
          <w:rFonts w:ascii="Georgia" w:hAnsi="Georgia"/>
          <w:b/>
          <w:bCs/>
          <w:sz w:val="22"/>
          <w:szCs w:val="22"/>
          <w:lang w:val="el-GR"/>
        </w:rPr>
        <w:t>κατά το 2023</w:t>
      </w:r>
      <w:r>
        <w:rPr>
          <w:rFonts w:ascii="Georgia" w:hAnsi="Georgia"/>
          <w:b/>
          <w:bCs/>
          <w:sz w:val="22"/>
          <w:szCs w:val="22"/>
          <w:lang w:val="el-GR"/>
        </w:rPr>
        <w:t xml:space="preserve"> κατάφερε να διατηρήσει τη θέση της ως η έκτη μεγαλύτερη παραγωγός κρασιού στην Ευρώπη</w:t>
      </w:r>
      <w:r>
        <w:rPr>
          <w:rFonts w:ascii="Georgia" w:hAnsi="Georgia"/>
          <w:sz w:val="22"/>
          <w:szCs w:val="22"/>
          <w:lang w:val="el-GR"/>
        </w:rPr>
        <w:t xml:space="preserve">, παρά τις δυσμενείς καιρικές συνθήκες, </w:t>
      </w:r>
      <w:r>
        <w:rPr>
          <w:rFonts w:ascii="Georgia" w:hAnsi="Georgia"/>
          <w:sz w:val="22"/>
          <w:szCs w:val="22"/>
          <w:lang w:val="el-GR"/>
        </w:rPr>
        <w:t>με μέγεθος</w:t>
      </w:r>
      <w:r>
        <w:rPr>
          <w:rFonts w:ascii="Georgia" w:hAnsi="Georgia"/>
          <w:sz w:val="22"/>
          <w:szCs w:val="22"/>
          <w:lang w:val="el-GR"/>
        </w:rPr>
        <w:t xml:space="preserve"> παραγωγή</w:t>
      </w:r>
      <w:r>
        <w:rPr>
          <w:rFonts w:ascii="Georgia" w:hAnsi="Georgia"/>
          <w:sz w:val="22"/>
          <w:szCs w:val="22"/>
          <w:lang w:val="el-GR"/>
        </w:rPr>
        <w:t>ς στα</w:t>
      </w:r>
      <w:r>
        <w:rPr>
          <w:rFonts w:ascii="Georgia" w:hAnsi="Georgia"/>
          <w:sz w:val="22"/>
          <w:szCs w:val="22"/>
          <w:lang w:val="el-GR"/>
        </w:rPr>
        <w:t xml:space="preserve"> 4,4 εκατ.εκατόλιτρ</w:t>
      </w:r>
      <w:r>
        <w:rPr>
          <w:rFonts w:ascii="Georgia" w:hAnsi="Georgia"/>
          <w:sz w:val="22"/>
          <w:szCs w:val="22"/>
          <w:lang w:val="el-GR"/>
        </w:rPr>
        <w:t>α</w:t>
      </w:r>
      <w:r>
        <w:rPr>
          <w:rFonts w:ascii="Georgia" w:hAnsi="Georgia"/>
          <w:sz w:val="22"/>
          <w:szCs w:val="22"/>
          <w:lang w:val="el-GR"/>
        </w:rPr>
        <w:t xml:space="preserve">, αυξημένη κατά 15% σε σχέση με το προηγούμενο έτος και 4% πάνω από τον μέσο όρο των τελευταίων 5 ετών, εδραιώνοντας έτσι τη θέση της ως σημαντικού παράγοντα στην ευρωπαϊκή αγορά κρασιού. </w:t>
      </w:r>
      <w:r>
        <w:rPr>
          <w:rFonts w:ascii="Georgia" w:hAnsi="Georgia"/>
          <w:sz w:val="22"/>
          <w:szCs w:val="22"/>
          <w:lang w:val="el-GR"/>
        </w:rPr>
        <w:t xml:space="preserve">Παράλληλα και κατά μ.ο. αναφέρεται ότι </w:t>
      </w:r>
      <w:r>
        <w:rPr>
          <w:rFonts w:ascii="Georgia" w:hAnsi="Georgia"/>
          <w:sz w:val="22"/>
          <w:szCs w:val="22"/>
          <w:lang w:val="el-GR"/>
        </w:rPr>
        <w:t xml:space="preserve">εγκαινιάζονται </w:t>
      </w:r>
      <w:r>
        <w:rPr>
          <w:rFonts w:ascii="Georgia" w:hAnsi="Georgia"/>
          <w:b/>
          <w:bCs/>
          <w:sz w:val="22"/>
          <w:szCs w:val="22"/>
          <w:lang w:val="el-GR"/>
        </w:rPr>
        <w:t>4 έως 5 νέα οινοποιεία ετησίως</w:t>
      </w:r>
      <w:r>
        <w:rPr>
          <w:rFonts w:ascii="Georgia" w:hAnsi="Georgia"/>
          <w:sz w:val="22"/>
          <w:szCs w:val="22"/>
          <w:lang w:val="el-GR"/>
        </w:rPr>
        <w:t xml:space="preserve"> στη Ρουμανία </w:t>
      </w:r>
      <w:r>
        <w:rPr>
          <w:rFonts w:ascii="Georgia" w:hAnsi="Georgia"/>
          <w:b/>
          <w:bCs/>
          <w:sz w:val="22"/>
          <w:szCs w:val="22"/>
          <w:lang w:val="el-GR"/>
        </w:rPr>
        <w:t>και τα περισσότερα από αυτά δίνουν μεγάλη έμφαση στον οινοτουρισμό</w:t>
      </w:r>
      <w:r>
        <w:rPr>
          <w:rFonts w:ascii="Georgia" w:hAnsi="Georgia"/>
          <w:sz w:val="22"/>
          <w:szCs w:val="22"/>
          <w:lang w:val="el-GR"/>
        </w:rPr>
        <w:t xml:space="preserve">. </w:t>
      </w:r>
    </w:p>
    <w:p>
      <w:pPr>
        <w:pStyle w:val="Normal"/>
        <w:tabs>
          <w:tab w:val="clear" w:pos="408"/>
          <w:tab w:val="left" w:pos="975" w:leader="none"/>
        </w:tabs>
        <w:spacing w:lineRule="auto" w:line="276"/>
        <w:jc w:val="both"/>
        <w:rPr>
          <w:rFonts w:ascii="Georgia" w:hAnsi="Georgia"/>
        </w:rPr>
      </w:pPr>
      <w:r>
        <w:rPr>
          <w:rFonts w:ascii="Georgia" w:hAnsi="Georgia"/>
          <w:sz w:val="22"/>
          <w:szCs w:val="22"/>
          <w:lang w:val="el-GR"/>
        </w:rPr>
        <w:t xml:space="preserve"> </w:t>
      </w:r>
      <w:r>
        <w:rPr>
          <w:rFonts w:ascii="Georgia" w:hAnsi="Georgia"/>
          <w:sz w:val="22"/>
          <w:szCs w:val="22"/>
          <w:lang w:val="el-GR"/>
        </w:rPr>
        <w:t xml:space="preserve">Ο χάρτης κρασιού της Ρουμανίας επικεντρώνεται στα οινοποιεία που προσφέρουν οινοτουρισμό: </w:t>
      </w:r>
      <w:r>
        <w:rPr>
          <w:rFonts w:ascii="Georgia" w:hAnsi="Georgia"/>
          <w:b/>
          <w:bCs/>
          <w:sz w:val="22"/>
          <w:szCs w:val="22"/>
          <w:lang w:val="el-GR"/>
        </w:rPr>
        <w:t xml:space="preserve">από τα 230 και πλέον οινοποιεία που περιλαμβάνονται στον χάρτη, πάνω από 80 από αυτά ανοίγουν τις πόρτες τους στους </w:t>
      </w:r>
      <w:r>
        <w:rPr>
          <w:rFonts w:ascii="Georgia" w:hAnsi="Georgia"/>
          <w:b/>
          <w:bCs/>
          <w:sz w:val="22"/>
          <w:szCs w:val="22"/>
          <w:lang w:val="el-GR"/>
        </w:rPr>
        <w:t>επισκέπτες/</w:t>
      </w:r>
      <w:r>
        <w:rPr>
          <w:rFonts w:ascii="Georgia" w:hAnsi="Georgia"/>
          <w:b/>
          <w:bCs/>
          <w:sz w:val="22"/>
          <w:szCs w:val="22"/>
          <w:lang w:val="el-GR"/>
        </w:rPr>
        <w:t>τουρίστες, ενώ 20 από αυτά προσφέρουν ακόμη και διαμονή, ενώ για τα υπόλοιπα, μπορεί να βρεθεί διαμονή σε κοντινή απόσταση.</w:t>
      </w:r>
    </w:p>
    <w:p>
      <w:pPr>
        <w:pStyle w:val="Normal"/>
        <w:tabs>
          <w:tab w:val="clear" w:pos="408"/>
          <w:tab w:val="left" w:pos="975" w:leader="none"/>
        </w:tabs>
        <w:spacing w:lineRule="auto" w:line="276"/>
        <w:jc w:val="both"/>
        <w:rPr>
          <w:rFonts w:ascii="Georgia" w:hAnsi="Georgia"/>
        </w:rPr>
      </w:pPr>
      <w:r>
        <w:rPr/>
      </w:r>
    </w:p>
    <w:p>
      <w:pPr>
        <w:pStyle w:val="Normal"/>
        <w:tabs>
          <w:tab w:val="clear" w:pos="408"/>
          <w:tab w:val="left" w:pos="975" w:leader="none"/>
        </w:tabs>
        <w:spacing w:lineRule="auto" w:line="276"/>
        <w:jc w:val="both"/>
        <w:rPr>
          <w:rFonts w:ascii="Georgia" w:hAnsi="Georgia"/>
        </w:rPr>
      </w:pPr>
      <w:r>
        <w:rPr>
          <w:rFonts w:ascii="Georgia" w:hAnsi="Georgia"/>
          <w:sz w:val="22"/>
          <w:szCs w:val="22"/>
          <w:lang w:val="el-GR"/>
        </w:rPr>
        <w:t xml:space="preserve"> </w:t>
      </w:r>
      <w:r>
        <w:rPr>
          <w:rFonts w:ascii="Georgia" w:hAnsi="Georgia"/>
          <w:b w:val="false"/>
          <w:i w:val="false"/>
          <w:caps w:val="false"/>
          <w:smallCaps w:val="false"/>
          <w:color w:val="000000"/>
          <w:spacing w:val="0"/>
          <w:sz w:val="22"/>
          <w:szCs w:val="22"/>
          <w:lang w:val="el-GR"/>
        </w:rPr>
        <w:t xml:space="preserve">"Έχουμε παρατηρήσει μια σημαντική αύξηση των επενδύσεων σε οινοποιεία, τα οποία έχουν συμπεριλάβει αίθουσες γευσιγνωσίας στην διαμόρφωση των χώρων τους ή έχουν κάνει σημαντικές βελτιώσεις για μια πιο αυθεντική εμπειρία. Επίσης, τα νέα έργα αμπελώνων επικεντρώνονται όλο και περισσότερο στην ενσωμάτωση της εμπειρίας γευσιγνωσίας στον αρχιτεκτονικό σχεδιασμό τους, όχι μόνο στις εγκαταστάσεις που είναι απαραίτητες για την επεξεργασία των σταφυλιών, την παραγωγή κρασιού και την αποθήκευση. Επιπλέον, μπορούμε να παρατηρήσουμε την εμφάνιση φιλόδοξων σχεδίων διαμονής σε αμπελουργικές περιοχές, τα οποία δίνουν έμφαση στην προσφορά μιας ολοκληρωμένης εμπειρίας για τους επισκέπτες. Οι εξελίξεις αυτές αναδεικνύουν την αυξανόμενη δέσμευση για τη δημιουργία ενός ευνοϊκού περιβάλλοντος για την εξερεύνηση και την εκτίμηση του κρασιού σε ευρύτερη κλίμακα, αποτελώντας έτσι σημαντικό στοιχείο για την ανάπτυξη της οινοβιομηχανίας", εξηγεί η </w:t>
      </w:r>
      <w:r>
        <w:rPr>
          <w:rFonts w:ascii="Georgia" w:hAnsi="Georgia"/>
          <w:b w:val="false"/>
          <w:i w:val="false"/>
          <w:caps w:val="false"/>
          <w:smallCaps w:val="false"/>
          <w:color w:val="000000"/>
          <w:spacing w:val="0"/>
          <w:sz w:val="22"/>
          <w:szCs w:val="22"/>
          <w:lang w:val="el-GR"/>
        </w:rPr>
        <w:t xml:space="preserve">κα </w:t>
      </w:r>
      <w:r>
        <w:rPr>
          <w:rFonts w:ascii="Georgia" w:hAnsi="Georgia"/>
          <w:b w:val="false"/>
          <w:i w:val="false"/>
          <w:caps w:val="false"/>
          <w:smallCaps w:val="false"/>
          <w:color w:val="000000"/>
          <w:spacing w:val="0"/>
          <w:sz w:val="22"/>
          <w:szCs w:val="22"/>
          <w:lang w:val="el-GR"/>
        </w:rPr>
        <w:t>Alina Iancu.</w:t>
      </w:r>
    </w:p>
    <w:p>
      <w:pPr>
        <w:pStyle w:val="Normal"/>
        <w:tabs>
          <w:tab w:val="clear" w:pos="408"/>
          <w:tab w:val="left" w:pos="975" w:leader="none"/>
        </w:tabs>
        <w:spacing w:lineRule="auto" w:line="276"/>
        <w:jc w:val="both"/>
        <w:rPr>
          <w:rFonts w:ascii="Georgia" w:hAnsi="Georgia"/>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Επιπλέον, πολλές εταιρείες διοργανώνουν εκδηλώσεις ομαδικής ανάπτυξης και συναντήσεις σε οινοποιεία. Η προσέγγιση αυτή συνδυάζει συνεδρίες εργασίας με δραστηριότητες χαλάρωσης και γευσιγνωσίας κρασιού, ενώ η τάση επιλογής οινοποιείων ως τόπων διεξαγωγής διοικητικών συναντήσεων βρίσκεται σε άνοδο, προσελκύοντας εταιρείες από διάφορες πόλεις που επιθυμούν να απολαύσουν μια διαφορετική ατμόσφαιρα.</w:t>
      </w:r>
    </w:p>
    <w:p>
      <w:pPr>
        <w:pStyle w:val="Normal"/>
        <w:tabs>
          <w:tab w:val="clear" w:pos="408"/>
          <w:tab w:val="left" w:pos="975" w:leader="none"/>
        </w:tabs>
        <w:spacing w:lineRule="auto" w:line="276"/>
        <w:jc w:val="both"/>
        <w:rPr>
          <w:rFonts w:ascii="Georgia" w:hAnsi="Georgia"/>
        </w:rPr>
      </w:pPr>
      <w:r>
        <w:rPr/>
      </w:r>
    </w:p>
    <w:p>
      <w:pPr>
        <w:pStyle w:val="Normal"/>
        <w:tabs>
          <w:tab w:val="clear" w:pos="408"/>
          <w:tab w:val="left" w:pos="975" w:leader="none"/>
        </w:tabs>
        <w:spacing w:lineRule="auto" w:line="276"/>
        <w:jc w:val="both"/>
        <w:rPr>
          <w:rFonts w:ascii="Georgia" w:hAnsi="Georgia"/>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 xml:space="preserve">Οι πληροφορίες της αγοράς δείχνουν ότι ο οινοτουρισμός είναι ιδιαίτερα δημοφιλής τις Παρασκευές και τα Σάββατα, αλλά οι </w:t>
      </w:r>
      <w:r>
        <w:rPr>
          <w:rFonts w:ascii="Georgia" w:hAnsi="Georgia"/>
          <w:b/>
          <w:bCs/>
          <w:i w:val="false"/>
          <w:caps w:val="false"/>
          <w:smallCaps w:val="false"/>
          <w:color w:val="000000"/>
          <w:spacing w:val="0"/>
          <w:sz w:val="22"/>
          <w:szCs w:val="22"/>
          <w:lang w:val="el-GR"/>
        </w:rPr>
        <w:t xml:space="preserve">εταιρικές εκδηλώσεις </w:t>
      </w:r>
      <w:r>
        <w:rPr>
          <w:rFonts w:ascii="Georgia" w:hAnsi="Georgia"/>
          <w:b w:val="false"/>
          <w:i w:val="false"/>
          <w:caps w:val="false"/>
          <w:smallCaps w:val="false"/>
          <w:color w:val="000000"/>
          <w:spacing w:val="0"/>
          <w:sz w:val="22"/>
          <w:szCs w:val="22"/>
          <w:lang w:val="el-GR"/>
        </w:rPr>
        <w:t>συμβάλλουν στην πλήρωση των οινοποιείων ακόμη και κατά τη διάρκεια της εβδομάδας, αντισταθμίζοντας την απουσία τουριστών.</w:t>
      </w:r>
    </w:p>
    <w:p>
      <w:pPr>
        <w:pStyle w:val="Normal"/>
        <w:tabs>
          <w:tab w:val="clear" w:pos="408"/>
          <w:tab w:val="left" w:pos="975" w:leader="none"/>
        </w:tabs>
        <w:spacing w:lineRule="auto" w:line="276"/>
        <w:jc w:val="both"/>
        <w:rPr>
          <w:rFonts w:ascii="Georgia" w:hAnsi="Georgia"/>
        </w:rPr>
      </w:pPr>
      <w:r>
        <w:rPr/>
      </w:r>
    </w:p>
    <w:p>
      <w:pPr>
        <w:pStyle w:val="Normal"/>
        <w:tabs>
          <w:tab w:val="clear" w:pos="408"/>
          <w:tab w:val="left" w:pos="975" w:leader="none"/>
        </w:tabs>
        <w:spacing w:lineRule="auto" w:line="276"/>
        <w:jc w:val="both"/>
        <w:rPr>
          <w:rFonts w:ascii="Georgia" w:hAnsi="Georgia"/>
        </w:rPr>
      </w:pPr>
      <w:r>
        <w:rPr>
          <w:rFonts w:ascii="Georgia" w:hAnsi="Georgia"/>
          <w:b w:val="false"/>
          <w:i w:val="false"/>
          <w:caps w:val="false"/>
          <w:smallCaps w:val="false"/>
          <w:color w:val="000000"/>
          <w:spacing w:val="0"/>
          <w:sz w:val="22"/>
          <w:szCs w:val="22"/>
          <w:lang w:val="el-GR"/>
        </w:rPr>
        <w:t>Ο χάρτης περιλαμβάνει επίσης έναν οδηγό για τις τοπικές ποικιλίες αμπέλου που είναι αντιπροσωπευτικές της Ρουμανίας. Με αυτόν τον τρόπο, οι τουρίστες θα έχουν την ευκαιρία να μάθουν για την ιστορία και τα χαρακτηριστικά ποικιλιών αμπέλου όπως Feteasca Alba, Feteasca Regala, Feteasca Neagra, Tamaioasa Romaneasca, Grasa de Cotnari, Cramposie Selectionata, Negru de Dragasani, Sarba, Busuioaca de Bohotin ή Babeasca Neagra.</w:t>
      </w:r>
    </w:p>
    <w:p>
      <w:pPr>
        <w:pStyle w:val="Normal"/>
        <w:tabs>
          <w:tab w:val="clear" w:pos="408"/>
          <w:tab w:val="left" w:pos="975" w:leader="none"/>
        </w:tabs>
        <w:spacing w:lineRule="auto" w:line="276"/>
        <w:jc w:val="both"/>
        <w:rPr>
          <w:rFonts w:ascii="Georgia" w:hAnsi="Georgia"/>
        </w:rPr>
      </w:pPr>
      <w:r>
        <w:rPr/>
      </w:r>
    </w:p>
    <w:p>
      <w:pPr>
        <w:pStyle w:val="Normal"/>
        <w:tabs>
          <w:tab w:val="clear" w:pos="408"/>
          <w:tab w:val="left" w:pos="975" w:leader="none"/>
        </w:tabs>
        <w:spacing w:lineRule="auto" w:line="276"/>
        <w:jc w:val="both"/>
        <w:rPr>
          <w:rFonts w:ascii="Georgia" w:hAnsi="Georgia"/>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Ο χάρτης κρασιού της Ρουμανίας έχει ετήσια -</w:t>
      </w:r>
      <w:r>
        <w:rPr>
          <w:rFonts w:ascii="Georgia" w:hAnsi="Georgia"/>
          <w:b w:val="false"/>
          <w:i w:val="false"/>
          <w:caps w:val="false"/>
          <w:smallCaps w:val="false"/>
          <w:color w:val="000000"/>
          <w:spacing w:val="0"/>
          <w:sz w:val="22"/>
          <w:szCs w:val="22"/>
          <w:lang w:val="el-GR"/>
        </w:rPr>
        <w:t>πέραν της διαδικτυακής-</w:t>
      </w: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 xml:space="preserve">έντυπη </w:t>
      </w:r>
      <w:r>
        <w:rPr>
          <w:rFonts w:ascii="Georgia" w:hAnsi="Georgia"/>
          <w:b w:val="false"/>
          <w:i w:val="false"/>
          <w:caps w:val="false"/>
          <w:smallCaps w:val="false"/>
          <w:color w:val="000000"/>
          <w:spacing w:val="0"/>
          <w:sz w:val="22"/>
          <w:szCs w:val="22"/>
          <w:lang w:val="el-GR"/>
        </w:rPr>
        <w:t xml:space="preserve">έκδοση πάνω από 1500 αντίτυπα και διατίθεται στα ρουμανικά και στα αγγλικά. </w:t>
      </w:r>
      <w:r>
        <w:rPr>
          <w:rFonts w:ascii="Georgia" w:hAnsi="Georgia"/>
          <w:b/>
          <w:bCs/>
          <w:i w:val="false"/>
          <w:caps w:val="false"/>
          <w:smallCaps w:val="false"/>
          <w:color w:val="000000"/>
          <w:spacing w:val="0"/>
          <w:sz w:val="22"/>
          <w:szCs w:val="22"/>
          <w:lang w:val="el-GR"/>
        </w:rPr>
        <w:t>Προς το παρόν, ο χάρτης διανέμεται σε μπαρ κρασιού, εξειδικευμένα καταστήματα και εστιατόρια στο Βουκουρέστι και στις κυριότερες πόλεις της χώρας, ώστε να προσεγγίσει όσο το δυνατόν περισσότερους λάτρεις του κρασιού</w:t>
      </w:r>
      <w:r>
        <w:rPr>
          <w:rFonts w:ascii="Georgia" w:hAnsi="Georgia"/>
          <w:b w:val="false"/>
          <w:i w:val="false"/>
          <w:caps w:val="false"/>
          <w:smallCaps w:val="false"/>
          <w:color w:val="000000"/>
          <w:spacing w:val="0"/>
          <w:sz w:val="22"/>
          <w:szCs w:val="22"/>
          <w:lang w:val="el-GR"/>
        </w:rPr>
        <w:t>.</w:t>
      </w:r>
    </w:p>
    <w:p>
      <w:pPr>
        <w:pStyle w:val="Normal"/>
        <w:tabs>
          <w:tab w:val="clear" w:pos="408"/>
          <w:tab w:val="left" w:pos="975" w:leader="none"/>
        </w:tabs>
        <w:spacing w:lineRule="auto" w:line="276"/>
        <w:jc w:val="both"/>
        <w:rPr>
          <w:rFonts w:ascii="Georgia" w:hAnsi="Georgia"/>
        </w:rPr>
      </w:pPr>
      <w:r>
        <w:rPr>
          <w:rFonts w:ascii="Georgia" w:hAnsi="Georgia"/>
          <w:sz w:val="22"/>
          <w:szCs w:val="22"/>
          <w:lang w:val="el-GR"/>
        </w:rPr>
        <w:t xml:space="preserve"> </w:t>
      </w:r>
    </w:p>
    <w:p>
      <w:pPr>
        <w:pStyle w:val="Normal"/>
        <w:tabs>
          <w:tab w:val="clear" w:pos="408"/>
          <w:tab w:val="left" w:pos="975" w:leader="none"/>
        </w:tabs>
        <w:spacing w:lineRule="auto" w:line="276"/>
        <w:jc w:val="both"/>
        <w:rPr>
          <w:rFonts w:ascii="Georgia" w:hAnsi="Georgia"/>
        </w:rPr>
      </w:pPr>
      <w:r>
        <w:rPr>
          <w:rFonts w:ascii="Georgia" w:hAnsi="Georgia"/>
          <w:sz w:val="22"/>
          <w:szCs w:val="22"/>
          <w:lang w:val="el-GR"/>
        </w:rPr>
        <w:t xml:space="preserve"> </w:t>
      </w:r>
      <w:r>
        <w:rPr>
          <w:rFonts w:ascii="Georgia" w:hAnsi="Georgia"/>
          <w:sz w:val="22"/>
          <w:szCs w:val="22"/>
          <w:lang w:val="el-GR"/>
        </w:rPr>
        <w:t>Ό</w:t>
      </w:r>
      <w:r>
        <w:rPr>
          <w:rFonts w:ascii="Georgia" w:hAnsi="Georgia"/>
          <w:sz w:val="22"/>
          <w:szCs w:val="22"/>
          <w:lang w:val="el-GR"/>
        </w:rPr>
        <w:t xml:space="preserve">σον αφορά στην διαδικτυακή έκδοση του οδηγού, αναφέρεται ότι στην Ρουμανία υπάρχουν 8 οινοπαραγωγικές περιοχές, τα περισσότερα οινοποιεία (81) βρίσκονται στον Νότο της χώρας στις περιοχές Oltenia και Muntenia (πόλεις Craiova, Pitesti, Ploiesti, Bucuresti, Buzau, Braila, Galati, </w:t>
      </w:r>
      <w:r>
        <w:rPr>
          <w:rFonts w:ascii="Georgia" w:hAnsi="Georgia"/>
          <w:sz w:val="22"/>
          <w:szCs w:val="22"/>
          <w:lang w:val="el-GR"/>
        </w:rPr>
        <w:t>Focsani</w:t>
      </w:r>
      <w:r>
        <w:rPr>
          <w:rFonts w:ascii="Georgia" w:hAnsi="Georgia"/>
          <w:sz w:val="22"/>
          <w:szCs w:val="22"/>
          <w:lang w:val="el-GR"/>
        </w:rPr>
        <w:t xml:space="preserve">), </w:t>
      </w:r>
      <w:r>
        <w:rPr>
          <w:rFonts w:ascii="Georgia" w:hAnsi="Georgia"/>
          <w:sz w:val="22"/>
          <w:szCs w:val="22"/>
          <w:lang w:val="el-GR"/>
        </w:rPr>
        <w:t>ενώ ακολουθούν με 47 οινοποιεία οι περιοχές στο Δυτικό τμήμα της χώρας, Crisana και Maramures (πόλεις Timisoara, Arad, Oradea, Satu Mare, Baia Mare) και στο Ανατολικό Τμήμα με 36 οινοποιεία οι περιοχές Moldova και Bucovina (πόλεις Iasi, Bacau, Vaslui, Piatra Neamt, Botosani και Suceava).</w:t>
      </w:r>
    </w:p>
    <w:p>
      <w:pPr>
        <w:pStyle w:val="Normal"/>
        <w:tabs>
          <w:tab w:val="clear" w:pos="408"/>
          <w:tab w:val="left" w:pos="975" w:leader="none"/>
        </w:tabs>
        <w:spacing w:lineRule="auto" w:line="276"/>
        <w:jc w:val="both"/>
        <w:rPr>
          <w:rFonts w:ascii="Georgia" w:hAnsi="Georgia"/>
        </w:rPr>
      </w:pPr>
      <w:r>
        <w:rPr/>
      </w:r>
    </w:p>
    <w:p>
      <w:pPr>
        <w:pStyle w:val="Normal"/>
        <w:tabs>
          <w:tab w:val="clear" w:pos="408"/>
          <w:tab w:val="left" w:pos="975" w:leader="none"/>
        </w:tabs>
        <w:spacing w:lineRule="auto" w:line="276"/>
        <w:jc w:val="both"/>
        <w:rPr>
          <w:rFonts w:ascii="Georgia" w:hAnsi="Georgia"/>
        </w:rPr>
      </w:pPr>
      <w:r>
        <w:rPr>
          <w:rFonts w:ascii="Georgia" w:hAnsi="Georgia"/>
          <w:sz w:val="22"/>
          <w:szCs w:val="22"/>
          <w:lang w:val="el-GR"/>
        </w:rPr>
        <w:t xml:space="preserve"> </w:t>
      </w:r>
      <w:r>
        <w:rPr>
          <w:rFonts w:ascii="Georgia" w:hAnsi="Georgia"/>
          <w:sz w:val="22"/>
          <w:szCs w:val="22"/>
          <w:lang w:val="el-GR"/>
        </w:rPr>
        <w:t xml:space="preserve">Τέλος από πλευράς μας αναφέρεται ότι οι επισκέψεις σε ρουμανικά οινοποιεία τα τελευταία χρόνια παρουσιάζουν ιδιαίτερη άνθηση και προσφέρονται και διαφορετικά πακέτα επισκέψεων π.χ. επίσκεψη σε τουριστικά αξιοθέατα σε συνδυασμό με επίσκεψη σε οινοποιείο, διοργάνωση εκδρομής με ποδήλατα και επίσκεψη σε οινοποιείο ή κατ’εξοχήν επίσκεψη σε οινοποιείο, </w:t>
      </w:r>
      <w:r>
        <w:rPr>
          <w:rFonts w:ascii="Georgia" w:hAnsi="Georgia"/>
          <w:b/>
          <w:bCs/>
          <w:sz w:val="22"/>
          <w:szCs w:val="22"/>
          <w:lang w:val="el-GR"/>
        </w:rPr>
        <w:t xml:space="preserve">ενώ οι τιμές κατ´άτομο κυμαίνονται από </w:t>
      </w:r>
      <w:r>
        <w:rPr>
          <w:rFonts w:ascii="Georgia" w:hAnsi="Georgia"/>
          <w:b/>
          <w:bCs/>
          <w:sz w:val="22"/>
          <w:szCs w:val="22"/>
          <w:lang w:val="el-GR"/>
        </w:rPr>
        <w:t xml:space="preserve">100 ή 150 ή 300 ευρώ. </w:t>
      </w:r>
    </w:p>
    <w:p>
      <w:pPr>
        <w:pStyle w:val="Normal"/>
        <w:tabs>
          <w:tab w:val="clear" w:pos="408"/>
          <w:tab w:val="left" w:pos="975" w:leader="none"/>
        </w:tabs>
        <w:spacing w:lineRule="auto" w:line="276"/>
        <w:jc w:val="both"/>
        <w:rPr>
          <w:rFonts w:ascii="Georgia" w:hAnsi="Georgia"/>
        </w:rPr>
      </w:pPr>
      <w:r>
        <w:rPr>
          <w:rFonts w:ascii="Georgia" w:hAnsi="Georgia"/>
          <w:sz w:val="22"/>
          <w:szCs w:val="22"/>
          <w:lang w:val="el-GR"/>
        </w:rPr>
        <w:t xml:space="preserve">  </w:t>
      </w:r>
      <w:r>
        <w:rPr>
          <w:rFonts w:ascii="Georgia" w:hAnsi="Georgia"/>
          <w:sz w:val="22"/>
          <w:szCs w:val="22"/>
          <w:lang w:val="el-GR"/>
        </w:rPr>
        <w:t xml:space="preserve">Δειγματοληπτικά και για απόκτηση εικόνας, επισυνάπτεται ιστοσελίδα επισκέψεων στην Prahova (απόσταση περίπου 1 ώρα από Βουκουρέστι) μέσω του Trip Advidor   </w:t>
      </w:r>
      <w:hyperlink r:id="rId4">
        <w:r>
          <w:rPr>
            <w:rStyle w:val="InternetLink"/>
            <w:rFonts w:ascii="Georgia" w:hAnsi="Georgia"/>
            <w:sz w:val="22"/>
            <w:szCs w:val="22"/>
            <w:lang w:val="el-GR"/>
          </w:rPr>
          <w:t>https://www.tripadvisor.com/Attractions-g2699708-Activities-c42-t205-Prahova_County_Southern_Romania.html</w:t>
        </w:r>
      </w:hyperlink>
      <w:r>
        <w:rPr>
          <w:rFonts w:ascii="Georgia" w:hAnsi="Georgia"/>
          <w:sz w:val="22"/>
          <w:szCs w:val="22"/>
          <w:lang w:val="el-GR"/>
        </w:rPr>
        <w:t xml:space="preserve"> </w:t>
      </w:r>
      <w:r>
        <w:rPr>
          <w:rFonts w:ascii="Georgia" w:hAnsi="Georgia"/>
          <w:sz w:val="22"/>
          <w:szCs w:val="22"/>
          <w:lang w:val="el-GR"/>
        </w:rPr>
        <w:t xml:space="preserve">, </w:t>
      </w:r>
      <w:r>
        <w:rPr>
          <w:rFonts w:ascii="Georgia" w:hAnsi="Georgia"/>
          <w:sz w:val="22"/>
          <w:szCs w:val="22"/>
          <w:lang w:val="el-GR"/>
        </w:rPr>
        <w:t xml:space="preserve">ενώ όσον αφορά στις επενδύσεις στον τομέα του οινοτουρισμού/φιλοξενίας παρατίθεται δειγματοληπτικά η ιστοσελίδα του Casa Timis </w:t>
      </w:r>
      <w:hyperlink r:id="rId5">
        <w:r>
          <w:rPr>
            <w:rStyle w:val="InternetLink"/>
            <w:rFonts w:ascii="Georgia" w:hAnsi="Georgia"/>
            <w:sz w:val="22"/>
            <w:szCs w:val="22"/>
            <w:lang w:val="el-GR"/>
          </w:rPr>
          <w:t>https://casatimis.ro/en/?_gl=1%2Aclkso6%2A_up%2AMQ..&amp;gclid=EAIaIQobChMIgMCZz-uEhAMVCZmDBx0Q3gw7EAAYASAAEgJ9a_D_BwE</w:t>
        </w:r>
      </w:hyperlink>
      <w:hyperlink r:id="rId6">
        <w:r>
          <w:rPr>
            <w:rFonts w:ascii="Georgia" w:hAnsi="Georgia"/>
            <w:sz w:val="22"/>
            <w:szCs w:val="22"/>
            <w:lang w:val="el-GR"/>
          </w:rPr>
          <w:t xml:space="preserve"> .</w:t>
        </w:r>
      </w:hyperlink>
    </w:p>
    <w:p>
      <w:pPr>
        <w:pStyle w:val="Normal"/>
        <w:tabs>
          <w:tab w:val="clear" w:pos="408"/>
          <w:tab w:val="left" w:pos="975" w:leader="none"/>
        </w:tabs>
        <w:spacing w:lineRule="auto" w:line="276"/>
        <w:jc w:val="both"/>
        <w:rPr>
          <w:rFonts w:ascii="Georgia" w:hAnsi="Georgia"/>
        </w:rPr>
      </w:pPr>
      <w:r>
        <w:rPr/>
      </w:r>
    </w:p>
    <w:p>
      <w:pPr>
        <w:pStyle w:val="Normal"/>
        <w:tabs>
          <w:tab w:val="clear" w:pos="408"/>
          <w:tab w:val="left" w:pos="975" w:leader="none"/>
        </w:tabs>
        <w:spacing w:lineRule="auto" w:line="276"/>
        <w:jc w:val="both"/>
        <w:rPr>
          <w:rFonts w:ascii="Georgia" w:hAnsi="Georgia"/>
        </w:rPr>
      </w:pPr>
      <w:r>
        <w:rPr>
          <w:rFonts w:asciiTheme="majorHAnsi" w:hAnsiTheme="majorHAnsi" w:ascii="Cambria" w:hAnsi="Cambria"/>
          <w:sz w:val="22"/>
          <w:szCs w:val="22"/>
          <w:lang w:val="el-GR"/>
        </w:rPr>
      </w:r>
    </w:p>
    <w:p>
      <w:pPr>
        <w:pStyle w:val="Normal"/>
        <w:tabs>
          <w:tab w:val="clear" w:pos="408"/>
          <w:tab w:val="left" w:pos="975" w:leader="none"/>
        </w:tabs>
        <w:spacing w:lineRule="auto" w:line="276"/>
        <w:jc w:val="both"/>
        <w:rPr>
          <w:rFonts w:ascii="Georgia" w:hAnsi="Georgia"/>
          <w:sz w:val="22"/>
          <w:szCs w:val="22"/>
          <w:lang w:val="el-GR"/>
        </w:rPr>
      </w:pPr>
      <w:r>
        <w:rPr>
          <w:rFonts w:ascii="Georgia" w:hAnsi="Georgia"/>
          <w:sz w:val="22"/>
          <w:szCs w:val="22"/>
          <w:lang w:val="el-GR"/>
        </w:rPr>
      </w:r>
    </w:p>
    <w:tbl>
      <w:tblPr>
        <w:tblW w:w="3600" w:type="dxa"/>
        <w:jc w:val="left"/>
        <w:tblInd w:w="5509" w:type="dxa"/>
        <w:tblCellMar>
          <w:top w:w="0" w:type="dxa"/>
          <w:left w:w="108" w:type="dxa"/>
          <w:bottom w:w="0" w:type="dxa"/>
          <w:right w:w="108" w:type="dxa"/>
        </w:tblCellMar>
        <w:tblLook w:val="01e0"/>
      </w:tblPr>
      <w:tblGrid>
        <w:gridCol w:w="3600"/>
      </w:tblGrid>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Ο Δ/νων</w:t>
            </w:r>
          </w:p>
          <w:p>
            <w:pPr>
              <w:pStyle w:val="Normal"/>
              <w:spacing w:lineRule="auto" w:line="276"/>
              <w:rPr>
                <w:rFonts w:ascii="Georgia" w:hAnsi="Georgia"/>
                <w:sz w:val="22"/>
                <w:lang w:val="el-GR"/>
              </w:rPr>
            </w:pPr>
            <w:r>
              <w:rPr>
                <w:rFonts w:ascii="Georgia" w:hAnsi="Georgia"/>
                <w:sz w:val="22"/>
                <w:lang w:val="el-GR"/>
              </w:rPr>
            </w:r>
          </w:p>
        </w:tc>
      </w:tr>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Παντελής Γιαννούλης</w:t>
            </w:r>
          </w:p>
        </w:tc>
      </w:tr>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 xml:space="preserve"> </w:t>
            </w:r>
            <w:r>
              <w:rPr>
                <w:rFonts w:ascii="Georgia" w:hAnsi="Georgia"/>
                <w:sz w:val="22"/>
                <w:szCs w:val="22"/>
                <w:lang w:val="el-GR"/>
              </w:rPr>
              <w:t>Σύμβουλος ΟΕΥ Α΄</w:t>
            </w:r>
          </w:p>
        </w:tc>
      </w:tr>
    </w:tbl>
    <w:p>
      <w:pPr>
        <w:pStyle w:val="Normal"/>
        <w:tabs>
          <w:tab w:val="clear" w:pos="408"/>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408"/>
          <w:tab w:val="left" w:pos="975" w:leader="none"/>
        </w:tabs>
        <w:spacing w:lineRule="auto" w:line="276"/>
        <w:jc w:val="both"/>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tabs>
          <w:tab w:val="clear" w:pos="408"/>
          <w:tab w:val="left" w:pos="975" w:leader="none"/>
        </w:tabs>
        <w:spacing w:lineRule="auto" w:line="276"/>
        <w:jc w:val="both"/>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tabs>
          <w:tab w:val="clear" w:pos="408"/>
          <w:tab w:val="left" w:pos="975" w:leader="none"/>
        </w:tabs>
        <w:spacing w:lineRule="auto" w:line="276"/>
        <w:jc w:val="both"/>
        <w:rPr>
          <w:rFonts w:ascii="Cambria" w:hAnsi="Cambria" w:asciiTheme="majorHAnsi" w:hAnsiTheme="majorHAnsi"/>
          <w:sz w:val="22"/>
          <w:szCs w:val="22"/>
          <w:lang w:val="el-GR"/>
        </w:rPr>
      </w:pPr>
      <w:r>
        <w:rPr/>
      </w:r>
    </w:p>
    <w:sectPr>
      <w:footerReference w:type="default" r:id="rId7"/>
      <w:type w:val="nextPage"/>
      <w:pgSz w:w="11906" w:h="16838"/>
      <w:pgMar w:left="875" w:right="1093" w:header="0" w:top="540" w:footer="72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color w:val="A6A6A6" w:themeColor="background1" w:themeShade="a6"/>
      </w:rPr>
    </w:pPr>
    <w:r>
      <w:rPr>
        <w:color w:val="A6A6A6" w:themeColor="background1" w:themeShade="a6"/>
      </w:rPr>
    </w:r>
  </w:p>
  <w:p>
    <w:pPr>
      <w:pStyle w:val="Footer"/>
      <w:jc w:val="center"/>
      <w:rPr>
        <w:i/>
        <w:i/>
        <w:color w:val="A6A6A6" w:themeColor="background1" w:themeShade="a6"/>
        <w:sz w:val="20"/>
        <w:szCs w:val="20"/>
      </w:rPr>
    </w:pPr>
    <w:r>
      <w:rPr>
        <w:i/>
        <w:color w:val="A6A6A6" w:themeColor="background1" w:themeShade="a6"/>
        <w:sz w:val="20"/>
        <w:szCs w:val="20"/>
      </w:rPr>
      <w:t>PacheProtopopescu 1-3, Sector 2, Bucharest</w:t>
    </w:r>
  </w:p>
  <w:p>
    <w:pPr>
      <w:pStyle w:val="Footer"/>
      <w:jc w:val="center"/>
      <w:rPr>
        <w:i/>
        <w:i/>
        <w:color w:val="A6A6A6" w:themeColor="background1" w:themeShade="a6"/>
        <w:sz w:val="20"/>
        <w:szCs w:val="20"/>
        <w:lang w:val="it-IT"/>
      </w:rPr>
    </w:pPr>
    <w:r>
      <w:rPr>
        <w:i/>
        <w:color w:val="A6A6A6" w:themeColor="background1" w:themeShade="a6"/>
        <w:sz w:val="20"/>
        <w:szCs w:val="20"/>
        <w:lang w:val="el-GR"/>
      </w:rPr>
      <w:t>Τηλ</w:t>
    </w:r>
    <w:r>
      <w:rPr>
        <w:i/>
        <w:color w:val="A6A6A6" w:themeColor="background1" w:themeShade="a6"/>
        <w:sz w:val="20"/>
        <w:szCs w:val="20"/>
      </w:rPr>
      <w:t>.</w:t>
    </w:r>
    <w:r>
      <w:rPr>
        <w:i/>
        <w:color w:val="A6A6A6" w:themeColor="background1" w:themeShade="a6"/>
        <w:sz w:val="20"/>
        <w:szCs w:val="20"/>
        <w:lang w:val="it-IT"/>
      </w:rPr>
      <w:t>: +40-21-2100748,2115724, Fax: +40-21-2119893</w:t>
    </w:r>
  </w:p>
  <w:p>
    <w:pPr>
      <w:pStyle w:val="Footer"/>
      <w:jc w:val="center"/>
      <w:rPr>
        <w:i/>
        <w:i/>
        <w:color w:val="A6A6A6" w:themeColor="background1" w:themeShade="a6"/>
        <w:sz w:val="20"/>
        <w:szCs w:val="20"/>
        <w:lang w:val="en-GB"/>
      </w:rPr>
    </w:pPr>
    <w:r>
      <w:rPr>
        <w:i/>
        <w:color w:val="A6A6A6" w:themeColor="background1" w:themeShade="a6"/>
        <w:sz w:val="20"/>
        <w:szCs w:val="20"/>
        <w:lang w:val="it-IT"/>
      </w:rPr>
      <w:t xml:space="preserve">e-mail: </w:t>
    </w:r>
    <w:hyperlink r:id="rId1">
      <w:r>
        <w:rPr>
          <w:rStyle w:val="InternetLink"/>
          <w:i/>
          <w:color w:val="A6A6A6" w:themeColor="background1" w:themeShade="a6"/>
          <w:sz w:val="20"/>
          <w:szCs w:val="20"/>
          <w:lang w:val="it-IT"/>
        </w:rPr>
        <w:t>ecocom-bucharest@mfa.gr</w:t>
      </w:r>
    </w:hyperlink>
    <w:r>
      <w:rPr>
        <w:i/>
        <w:color w:val="A6A6A6" w:themeColor="background1" w:themeShade="a6"/>
        <w:sz w:val="20"/>
        <w:szCs w:val="20"/>
      </w:rPr>
      <w:t xml:space="preserve"> Web: </w:t>
    </w:r>
    <w:hyperlink r:id="rId2">
      <w:r>
        <w:rPr>
          <w:rStyle w:val="InternetLink"/>
          <w:i/>
          <w:color w:val="A6A6A6" w:themeColor="background1" w:themeShade="a6"/>
          <w:sz w:val="20"/>
          <w:szCs w:val="20"/>
        </w:rPr>
        <w:t>www.agora.mfa.gr</w:t>
      </w:r>
    </w:hyperlink>
  </w:p>
  <w:p>
    <w:pPr>
      <w:pStyle w:val="Footer"/>
      <w:jc w:val="center"/>
      <w:rPr>
        <w:i/>
        <w:i/>
        <w:sz w:val="20"/>
        <w:szCs w:val="20"/>
        <w:lang w:val="en-GB"/>
      </w:rPr>
    </w:pPr>
    <w:r>
      <w:rPr>
        <w:i/>
        <w:sz w:val="20"/>
        <w:szCs w:val="20"/>
        <w:lang w:val="en-GB"/>
      </w:rPr>
    </w:r>
  </w:p>
  <w:p>
    <w:pPr>
      <w:pStyle w:val="Footer"/>
      <w:jc w:val="center"/>
      <w:rPr>
        <w:lang w:val="en-GB"/>
      </w:rPr>
    </w:pPr>
    <w:r>
      <w:rPr>
        <w:lang w:val="en-GB"/>
      </w:rPr>
    </w:r>
  </w:p>
</w:ftr>
</file>

<file path=word/settings.xml><?xml version="1.0" encoding="utf-8"?>
<w:settings xmlns:w="http://schemas.openxmlformats.org/wordprocessingml/2006/main">
  <w:zoom w:percent="96"/>
  <w:embedSystemFonts/>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semiHidden="0" w:unhideWhenUsed="0" w:qFormat="1"/>
    <w:lsdException w:name="Emphasis" w:locked="1" w:uiPriority="2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7973"/>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9"/>
    <w:qFormat/>
    <w:rsid w:val="00747973"/>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Heading2Char"/>
    <w:semiHidden/>
    <w:unhideWhenUsed/>
    <w:qFormat/>
    <w:locked/>
    <w:rsid w:val="0021604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semiHidden/>
    <w:unhideWhenUsed/>
    <w:qFormat/>
    <w:locked/>
    <w:rsid w:val="0021604b"/>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747973"/>
    <w:rPr>
      <w:rFonts w:ascii="Arial" w:hAnsi="Arial" w:cs="Arial"/>
      <w:b/>
      <w:bCs/>
      <w:kern w:val="2"/>
      <w:sz w:val="32"/>
      <w:szCs w:val="32"/>
      <w:lang w:val="en-US" w:eastAsia="en-US" w:bidi="ar-SA"/>
    </w:rPr>
  </w:style>
  <w:style w:type="character" w:styleId="InternetLink">
    <w:name w:val="Hyperlink"/>
    <w:basedOn w:val="DefaultParagraphFont"/>
    <w:uiPriority w:val="99"/>
    <w:rsid w:val="00747973"/>
    <w:rPr>
      <w:rFonts w:cs="Times New Roman"/>
      <w:color w:val="0000FF"/>
      <w:u w:val="none"/>
      <w:effect w:val="none"/>
    </w:rPr>
  </w:style>
  <w:style w:type="character" w:styleId="BalloonTextChar" w:customStyle="1">
    <w:name w:val="Balloon Text Char"/>
    <w:basedOn w:val="DefaultParagraphFont"/>
    <w:link w:val="BalloonText"/>
    <w:uiPriority w:val="99"/>
    <w:semiHidden/>
    <w:qFormat/>
    <w:locked/>
    <w:rsid w:val="00a13978"/>
    <w:rPr>
      <w:rFonts w:cs="Times New Roman"/>
      <w:sz w:val="2"/>
    </w:rPr>
  </w:style>
  <w:style w:type="character" w:styleId="Emphasis">
    <w:name w:val="Emphasis"/>
    <w:basedOn w:val="DefaultParagraphFont"/>
    <w:uiPriority w:val="20"/>
    <w:qFormat/>
    <w:locked/>
    <w:rsid w:val="00eb1d3a"/>
    <w:rPr>
      <w:i/>
      <w:iCs/>
    </w:rPr>
  </w:style>
  <w:style w:type="character" w:styleId="St" w:customStyle="1">
    <w:name w:val="st"/>
    <w:basedOn w:val="DefaultParagraphFont"/>
    <w:qFormat/>
    <w:rsid w:val="00ab4b94"/>
    <w:rPr/>
  </w:style>
  <w:style w:type="character" w:styleId="FooterChar" w:customStyle="1">
    <w:name w:val="Footer Char"/>
    <w:basedOn w:val="DefaultParagraphFont"/>
    <w:link w:val="Footer"/>
    <w:uiPriority w:val="99"/>
    <w:qFormat/>
    <w:rsid w:val="00ed567b"/>
    <w:rPr>
      <w:sz w:val="24"/>
      <w:szCs w:val="24"/>
    </w:rPr>
  </w:style>
  <w:style w:type="character" w:styleId="Char" w:customStyle="1">
    <w:name w:val="Υποσέλιδο Char"/>
    <w:basedOn w:val="DefaultParagraphFont"/>
    <w:uiPriority w:val="99"/>
    <w:qFormat/>
    <w:rsid w:val="00ed567b"/>
    <w:rPr>
      <w:sz w:val="24"/>
      <w:szCs w:val="24"/>
    </w:rPr>
  </w:style>
  <w:style w:type="character" w:styleId="Heading2Char" w:customStyle="1">
    <w:name w:val="Heading 2 Char"/>
    <w:basedOn w:val="DefaultParagraphFont"/>
    <w:link w:val="Heading2"/>
    <w:semiHidden/>
    <w:qFormat/>
    <w:rsid w:val="0021604b"/>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semiHidden/>
    <w:qFormat/>
    <w:rsid w:val="0021604b"/>
    <w:rPr>
      <w:rFonts w:ascii="Cambria" w:hAnsi="Cambria" w:eastAsia="" w:cs="" w:asciiTheme="majorHAnsi" w:cstheme="majorBidi" w:eastAsiaTheme="majorEastAsia" w:hAnsiTheme="majorHAnsi"/>
      <w:b/>
      <w:bCs/>
      <w:color w:val="4F81BD" w:themeColor="accent1"/>
      <w:sz w:val="24"/>
      <w:szCs w:val="24"/>
    </w:rPr>
  </w:style>
  <w:style w:type="character" w:styleId="Strong">
    <w:name w:val="Strong"/>
    <w:basedOn w:val="DefaultParagraphFont"/>
    <w:uiPriority w:val="99"/>
    <w:qFormat/>
    <w:locked/>
    <w:rsid w:val="0021604b"/>
    <w:rPr>
      <w:b/>
      <w:bCs/>
    </w:rPr>
  </w:style>
  <w:style w:type="character" w:styleId="Muted" w:customStyle="1">
    <w:name w:val="muted"/>
    <w:basedOn w:val="DefaultParagraphFont"/>
    <w:qFormat/>
    <w:rsid w:val="0021604b"/>
    <w:rPr/>
  </w:style>
  <w:style w:type="character" w:styleId="HTMLChar" w:customStyle="1">
    <w:name w:val="Προ-διαμορφωμένο HTML Char"/>
    <w:basedOn w:val="DefaultParagraphFont"/>
    <w:uiPriority w:val="99"/>
    <w:semiHidden/>
    <w:qFormat/>
    <w:rsid w:val="001a2fa4"/>
    <w:rPr>
      <w:rFonts w:ascii="Courier New" w:hAnsi="Courier New" w:cs="Courier New"/>
      <w:sz w:val="20"/>
      <w:szCs w:val="20"/>
      <w:lang w:val="en-GB" w:eastAsia="en-GB"/>
    </w:rPr>
  </w:style>
  <w:style w:type="character" w:styleId="NumberingSymbols" w:customStyle="1">
    <w:name w:val="Numbering Symbols"/>
    <w:qFormat/>
    <w:rsid w:val="001d5591"/>
    <w:rPr/>
  </w:style>
  <w:style w:type="character" w:styleId="Bullets" w:customStyle="1">
    <w:name w:val="Bullets"/>
    <w:qFormat/>
    <w:rsid w:val="001d5591"/>
    <w:rPr>
      <w:rFonts w:ascii="OpenSymbol" w:hAnsi="OpenSymbol" w:eastAsia="OpenSymbol" w:cs="OpenSymbol"/>
    </w:rPr>
  </w:style>
  <w:style w:type="paragraph" w:styleId="Heading" w:customStyle="1">
    <w:name w:val="Heading"/>
    <w:basedOn w:val="Normal"/>
    <w:next w:val="TextBody"/>
    <w:qFormat/>
    <w:rsid w:val="00bc2764"/>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bc2764"/>
    <w:pPr>
      <w:spacing w:lineRule="auto" w:line="276" w:before="0" w:after="140"/>
    </w:pPr>
    <w:rPr/>
  </w:style>
  <w:style w:type="paragraph" w:styleId="List">
    <w:name w:val="List"/>
    <w:basedOn w:val="TextBody"/>
    <w:rsid w:val="00bc276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bc2764"/>
    <w:pPr>
      <w:suppressLineNumbers/>
    </w:pPr>
    <w:rPr>
      <w:rFonts w:cs="Lohit Devanagari"/>
    </w:rPr>
  </w:style>
  <w:style w:type="paragraph" w:styleId="Caption1">
    <w:name w:val="caption"/>
    <w:basedOn w:val="Normal"/>
    <w:qFormat/>
    <w:rsid w:val="00bc2764"/>
    <w:pPr>
      <w:suppressLineNumbers/>
      <w:spacing w:before="120" w:after="120"/>
    </w:pPr>
    <w:rPr>
      <w:rFonts w:cs="Lohit Devanagari"/>
      <w:i/>
      <w:iCs/>
    </w:rPr>
  </w:style>
  <w:style w:type="paragraph" w:styleId="BalloonText">
    <w:name w:val="Balloon Text"/>
    <w:basedOn w:val="Normal"/>
    <w:link w:val="BalloonTextChar"/>
    <w:uiPriority w:val="99"/>
    <w:semiHidden/>
    <w:qFormat/>
    <w:rsid w:val="00984e92"/>
    <w:pPr/>
    <w:rPr>
      <w:rFonts w:ascii="Tahoma" w:hAnsi="Tahoma" w:cs="Tahoma"/>
      <w:sz w:val="16"/>
      <w:szCs w:val="16"/>
    </w:rPr>
  </w:style>
  <w:style w:type="paragraph" w:styleId="NormalWeb">
    <w:name w:val="Normal (Web)"/>
    <w:basedOn w:val="Normal"/>
    <w:uiPriority w:val="99"/>
    <w:semiHidden/>
    <w:unhideWhenUsed/>
    <w:qFormat/>
    <w:rsid w:val="000447aa"/>
    <w:pPr>
      <w:spacing w:beforeAutospacing="1" w:afterAutospacing="1"/>
    </w:pPr>
    <w:rPr/>
  </w:style>
  <w:style w:type="paragraph" w:styleId="HeaderandFooter" w:customStyle="1">
    <w:name w:val="Header and Footer"/>
    <w:basedOn w:val="Normal"/>
    <w:qFormat/>
    <w:rsid w:val="00bc2764"/>
    <w:pPr/>
    <w:rPr/>
  </w:style>
  <w:style w:type="paragraph" w:styleId="Header">
    <w:name w:val="Header"/>
    <w:basedOn w:val="Normal"/>
    <w:uiPriority w:val="99"/>
    <w:unhideWhenUsed/>
    <w:rsid w:val="00ed567b"/>
    <w:pPr>
      <w:tabs>
        <w:tab w:val="clear" w:pos="408"/>
        <w:tab w:val="center" w:pos="4153" w:leader="none"/>
        <w:tab w:val="right" w:pos="8306" w:leader="none"/>
      </w:tabs>
    </w:pPr>
    <w:rPr/>
  </w:style>
  <w:style w:type="paragraph" w:styleId="Footer">
    <w:name w:val="Footer"/>
    <w:basedOn w:val="Normal"/>
    <w:link w:val="FooterChar"/>
    <w:uiPriority w:val="99"/>
    <w:unhideWhenUsed/>
    <w:rsid w:val="00ed567b"/>
    <w:pPr>
      <w:tabs>
        <w:tab w:val="clear" w:pos="408"/>
        <w:tab w:val="center" w:pos="4153" w:leader="none"/>
        <w:tab w:val="right" w:pos="8306" w:leader="none"/>
      </w:tabs>
    </w:pPr>
    <w:rPr/>
  </w:style>
  <w:style w:type="paragraph" w:styleId="ListParagraph">
    <w:name w:val="List Paragraph"/>
    <w:basedOn w:val="Normal"/>
    <w:uiPriority w:val="34"/>
    <w:qFormat/>
    <w:rsid w:val="003041e4"/>
    <w:pPr>
      <w:spacing w:before="0" w:after="0"/>
      <w:ind w:left="720" w:hanging="0"/>
      <w:contextualSpacing/>
    </w:pPr>
    <w:rPr/>
  </w:style>
  <w:style w:type="paragraph" w:styleId="HTMLPreformatted">
    <w:name w:val="HTML Preformatted"/>
    <w:basedOn w:val="Normal"/>
    <w:uiPriority w:val="99"/>
    <w:semiHidden/>
    <w:unhideWhenUsed/>
    <w:qFormat/>
    <w:rsid w:val="001a2fa4"/>
    <w:pPr>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GB" w:eastAsia="en-GB"/>
    </w:rPr>
  </w:style>
  <w:style w:type="paragraph" w:styleId="TableContents" w:customStyle="1">
    <w:name w:val="Table Contents"/>
    <w:basedOn w:val="Normal"/>
    <w:qFormat/>
    <w:rsid w:val="001d5591"/>
    <w:pPr>
      <w:suppressLineNumbers/>
    </w:pPr>
    <w:rPr/>
  </w:style>
  <w:style w:type="paragraph" w:styleId="TableHeading" w:customStyle="1">
    <w:name w:val="Table Heading"/>
    <w:basedOn w:val="TableContents"/>
    <w:qFormat/>
    <w:rsid w:val="001d5591"/>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aa053e"/>
    <w:rPr>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evino.ro/en/wine-regions-maps/" TargetMode="External"/><Relationship Id="rId4" Type="http://schemas.openxmlformats.org/officeDocument/2006/relationships/hyperlink" Target="https://www.tripadvisor.com/Attractions-g2699708-Activities-c42-t205-Prahova_County_Southern_Romania.html" TargetMode="External"/><Relationship Id="rId5" Type="http://schemas.openxmlformats.org/officeDocument/2006/relationships/hyperlink" Target="https://casatimis.ro/en/?_gl=1*clkso6*_up*MQ..&amp;gclid=EAIaIQobChMIgMCZz-uEhAMVCZmDBx0Q3gw7EAAYASAAEgJ9a_D_BwE" TargetMode="External"/><Relationship Id="rId6" Type="http://schemas.openxmlformats.org/officeDocument/2006/relationships/hyperlink" Target=""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ecocom-bucharest@mfa.gr" TargetMode="External"/><Relationship Id="rId2" Type="http://schemas.openxmlformats.org/officeDocument/2006/relationships/hyperlink" Target="http://www.agora.mfa.gr/roman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26036-9BBA-494B-B8E7-D9FD7523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Application>LibreOffice/6.4.7.2$Linux_X86_64 LibreOffice_project/40$Build-2</Application>
  <Pages>3</Pages>
  <Words>1064</Words>
  <Characters>6716</Characters>
  <CharactersWithSpaces>7763</CharactersWithSpaces>
  <Paragraphs>43</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2021-11-04T13:00:00Z</dcterms:created>
  <dc:creator>dimitra.schina</dc:creator>
  <dc:description/>
  <dc:language>en-US</dc:language>
  <cp:lastModifiedBy/>
  <cp:lastPrinted>2024-01-30T11:37:44Z</cp:lastPrinted>
  <dcterms:modified xsi:type="dcterms:W3CDTF">2024-01-30T11:56:59Z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